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816" w:type="dxa"/>
        <w:tblInd w:w="-210" w:type="dxa"/>
        <w:tblLayout w:type="autofit"/>
        <w:tblCellMar>
          <w:top w:w="0" w:type="dxa"/>
          <w:left w:w="108" w:type="dxa"/>
          <w:bottom w:w="0" w:type="dxa"/>
          <w:right w:w="108" w:type="dxa"/>
        </w:tblCellMar>
      </w:tblPr>
      <w:tblGrid>
        <w:gridCol w:w="3437"/>
        <w:gridCol w:w="6379"/>
      </w:tblGrid>
      <w:tr w14:paraId="77DC6DEF">
        <w:tblPrEx>
          <w:tblCellMar>
            <w:top w:w="0" w:type="dxa"/>
            <w:left w:w="108" w:type="dxa"/>
            <w:bottom w:w="0" w:type="dxa"/>
            <w:right w:w="108" w:type="dxa"/>
          </w:tblCellMar>
        </w:tblPrEx>
        <w:trPr>
          <w:trHeight w:val="217" w:hRule="atLeast"/>
        </w:trPr>
        <w:tc>
          <w:tcPr>
            <w:tcW w:w="3437" w:type="dxa"/>
          </w:tcPr>
          <w:p w14:paraId="67462175">
            <w:pPr>
              <w:spacing w:after="0" w:line="240" w:lineRule="auto"/>
              <w:jc w:val="center"/>
              <w:rPr>
                <w:rFonts w:cs="Times New Roman"/>
                <w:b/>
                <w:szCs w:val="26"/>
              </w:rPr>
            </w:pPr>
            <w:r>
              <w:rPr>
                <w:rFonts w:cs="Times New Roman"/>
                <w:b/>
                <w:szCs w:val="26"/>
              </w:rPr>
              <w:t>ỦY BAN NHÂN DÂN</w:t>
            </w:r>
            <w:r>
              <w:rPr>
                <w:rFonts w:cs="Times New Roman"/>
                <w:b/>
                <w:szCs w:val="26"/>
              </w:rPr>
              <w:br w:type="textWrapping"/>
            </w:r>
            <w:r>
              <w:rPr>
                <w:rFonts w:cs="Times New Roman"/>
                <w:b/>
                <w:szCs w:val="26"/>
              </w:rPr>
              <w:t>THÀNH PHỐ HÀ NỘI</w:t>
            </w:r>
          </w:p>
        </w:tc>
        <w:tc>
          <w:tcPr>
            <w:tcW w:w="6379" w:type="dxa"/>
          </w:tcPr>
          <w:p w14:paraId="087E7F0B">
            <w:pPr>
              <w:spacing w:after="0" w:line="240" w:lineRule="auto"/>
              <w:ind w:left="-234" w:firstLine="234"/>
              <w:jc w:val="center"/>
              <w:rPr>
                <w:rFonts w:cs="Times New Roman"/>
                <w:b/>
                <w:szCs w:val="26"/>
                <w:u w:val="single"/>
              </w:rPr>
            </w:pPr>
            <w:r>
              <w:rPr>
                <w:rFonts w:cs="Times New Roman"/>
                <w:b/>
                <w:szCs w:val="26"/>
              </w:rPr>
              <w:t>CỘNG HÒA XÃ HỘI CHỦ NGHĨA VIỆT NAM</w:t>
            </w:r>
            <w:r>
              <w:rPr>
                <w:rFonts w:cs="Times New Roman"/>
                <w:b/>
                <w:szCs w:val="26"/>
              </w:rPr>
              <w:br w:type="textWrapping"/>
            </w:r>
            <w:r>
              <w:rPr>
                <w:rFonts w:cs="Times New Roman"/>
                <w:b/>
                <w:szCs w:val="26"/>
              </w:rPr>
              <w:t>Độc lập – Tự do – Hạnh phúc</w:t>
            </w:r>
          </w:p>
        </w:tc>
      </w:tr>
      <w:tr w14:paraId="32A06AA1">
        <w:tblPrEx>
          <w:tblCellMar>
            <w:top w:w="0" w:type="dxa"/>
            <w:left w:w="108" w:type="dxa"/>
            <w:bottom w:w="0" w:type="dxa"/>
            <w:right w:w="108" w:type="dxa"/>
          </w:tblCellMar>
        </w:tblPrEx>
        <w:trPr>
          <w:trHeight w:val="209" w:hRule="atLeast"/>
        </w:trPr>
        <w:tc>
          <w:tcPr>
            <w:tcW w:w="3437" w:type="dxa"/>
          </w:tcPr>
          <w:p w14:paraId="5E7258B7">
            <w:pPr>
              <w:spacing w:after="0" w:line="240" w:lineRule="auto"/>
              <w:ind w:left="-108"/>
              <w:jc w:val="center"/>
              <w:rPr>
                <w:rFonts w:cs="Times New Roman"/>
                <w:b/>
                <w:szCs w:val="26"/>
              </w:rPr>
            </w:pPr>
            <w:r>
              <w:rPr>
                <w:rFonts w:cs="Times New Roman"/>
                <w:szCs w:val="28"/>
              </w:rPr>
              <mc:AlternateContent>
                <mc:Choice Requires="wps">
                  <w:drawing>
                    <wp:anchor distT="0" distB="0" distL="114300" distR="114300" simplePos="0" relativeHeight="251659264" behindDoc="0" locked="0" layoutInCell="1" allowOverlap="1">
                      <wp:simplePos x="0" y="0"/>
                      <wp:positionH relativeFrom="column">
                        <wp:posOffset>676275</wp:posOffset>
                      </wp:positionH>
                      <wp:positionV relativeFrom="paragraph">
                        <wp:posOffset>67310</wp:posOffset>
                      </wp:positionV>
                      <wp:extent cx="863600" cy="0"/>
                      <wp:effectExtent l="0" t="0" r="0" b="0"/>
                      <wp:wrapNone/>
                      <wp:docPr id="1869565773" name="Straight Arrow Connector 5"/>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straightConnector1">
                                <a:avLst/>
                              </a:prstGeom>
                              <a:noFill/>
                              <a:ln w="9525">
                                <a:solidFill>
                                  <a:srgbClr val="000000"/>
                                </a:solidFill>
                                <a:round/>
                              </a:ln>
                            </wps:spPr>
                            <wps:bodyPr/>
                          </wps:wsp>
                        </a:graphicData>
                      </a:graphic>
                    </wp:anchor>
                  </w:drawing>
                </mc:Choice>
                <mc:Fallback>
                  <w:pict>
                    <v:shape id="Straight Arrow Connector 5" o:spid="_x0000_s1026" o:spt="32" type="#_x0000_t32" style="position:absolute;left:0pt;margin-left:53.25pt;margin-top:5.3pt;height:0pt;width:68pt;z-index:251659264;mso-width-relative:page;mso-height-relative:page;" filled="f" stroked="t" coordsize="21600,21600" o:gfxdata="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DWru0NQAAAAJAQAADwAA&#10;AAAAAAABACAAAAAiAAAAZHJzL2Rvd25yZXYueG1sUEsBAhQAFAAAAAgAh07iQK+IlHrhAQAAyQMA&#10;AA4AAAAAAAAAAQAgAAAAIwEAAGRycy9lMm9Eb2MueG1sUEsFBgAAAAAGAAYAWQEAAHYFAAAAAA==&#10;">
                      <v:fill on="f" focussize="0,0"/>
                      <v:stroke color="#000000" joinstyle="round"/>
                      <v:imagedata o:title=""/>
                      <o:lock v:ext="edit" aspectratio="f"/>
                    </v:shape>
                  </w:pict>
                </mc:Fallback>
              </mc:AlternateContent>
            </w:r>
          </w:p>
        </w:tc>
        <w:tc>
          <w:tcPr>
            <w:tcW w:w="6379" w:type="dxa"/>
          </w:tcPr>
          <w:p w14:paraId="63C25E16">
            <w:pPr>
              <w:spacing w:after="0" w:line="240" w:lineRule="auto"/>
              <w:ind w:left="-108"/>
              <w:jc w:val="center"/>
              <w:rPr>
                <w:rFonts w:cs="Times New Roman"/>
                <w:i/>
                <w:szCs w:val="26"/>
              </w:rPr>
            </w:pPr>
            <w:r>
              <w:rPr>
                <w:rFonts w:cs="Times New Roman"/>
                <w:szCs w:val="28"/>
              </w:rPr>
              <mc:AlternateContent>
                <mc:Choice Requires="wps">
                  <w:drawing>
                    <wp:anchor distT="0" distB="0" distL="114300" distR="114300" simplePos="0" relativeHeight="251660288" behindDoc="0" locked="0" layoutInCell="1" allowOverlap="1">
                      <wp:simplePos x="0" y="0"/>
                      <wp:positionH relativeFrom="column">
                        <wp:posOffset>828040</wp:posOffset>
                      </wp:positionH>
                      <wp:positionV relativeFrom="paragraph">
                        <wp:posOffset>58420</wp:posOffset>
                      </wp:positionV>
                      <wp:extent cx="2047875" cy="635"/>
                      <wp:effectExtent l="12065" t="13335" r="6985" b="5080"/>
                      <wp:wrapNone/>
                      <wp:docPr id="102447663" name="Connector: Elbow 3"/>
                      <wp:cNvGraphicFramePr/>
                      <a:graphic xmlns:a="http://schemas.openxmlformats.org/drawingml/2006/main">
                        <a:graphicData uri="http://schemas.microsoft.com/office/word/2010/wordprocessingShape">
                          <wps:wsp>
                            <wps:cNvCnPr>
                              <a:cxnSpLocks noChangeShapeType="1"/>
                            </wps:cNvCnPr>
                            <wps:spPr bwMode="auto">
                              <a:xfrm>
                                <a:off x="0" y="0"/>
                                <a:ext cx="2047875" cy="635"/>
                              </a:xfrm>
                              <a:prstGeom prst="bentConnector3">
                                <a:avLst>
                                  <a:gd name="adj1" fmla="val 49986"/>
                                </a:avLst>
                              </a:prstGeom>
                              <a:noFill/>
                              <a:ln w="9525">
                                <a:solidFill>
                                  <a:srgbClr val="000000"/>
                                </a:solidFill>
                                <a:miter lim="800000"/>
                              </a:ln>
                            </wps:spPr>
                            <wps:bodyPr/>
                          </wps:wsp>
                        </a:graphicData>
                      </a:graphic>
                    </wp:anchor>
                  </w:drawing>
                </mc:Choice>
                <mc:Fallback>
                  <w:pict>
                    <v:shape id="Connector: Elbow 3" o:spid="_x0000_s1026" o:spt="34" type="#_x0000_t34" style="position:absolute;left:0pt;margin-left:65.2pt;margin-top:4.6pt;height:0.05pt;width:161.25pt;z-index:251660288;mso-width-relative:page;mso-height-relative:page;" filled="f" stroked="t" coordsize="21600,21600" o:gfxdata="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pyL9QtUAAAAHAQAADwAAAAAAAAABACAAAAAiAAAAZHJzL2Rvd25yZXYueG1sUEsB&#10;AhQAFAAAAAgAh07iQKxsb1P4AQAA+QMAAA4AAAAAAAAAAQAgAAAAJAEAAGRycy9lMm9Eb2MueG1s&#10;UEsFBgAAAAAGAAYAWQEAAI4FAAAAAA==&#10;" adj="10797">
                      <v:fill on="f" focussize="0,0"/>
                      <v:stroke color="#000000" miterlimit="8" joinstyle="miter"/>
                      <v:imagedata o:title=""/>
                      <o:lock v:ext="edit" aspectratio="f"/>
                    </v:shape>
                  </w:pict>
                </mc:Fallback>
              </mc:AlternateContent>
            </w:r>
          </w:p>
        </w:tc>
      </w:tr>
      <w:tr w14:paraId="56A0E219">
        <w:tblPrEx>
          <w:tblCellMar>
            <w:top w:w="0" w:type="dxa"/>
            <w:left w:w="108" w:type="dxa"/>
            <w:bottom w:w="0" w:type="dxa"/>
            <w:right w:w="108" w:type="dxa"/>
          </w:tblCellMar>
        </w:tblPrEx>
        <w:trPr>
          <w:trHeight w:val="80" w:hRule="atLeast"/>
        </w:trPr>
        <w:tc>
          <w:tcPr>
            <w:tcW w:w="3437" w:type="dxa"/>
            <w:vAlign w:val="center"/>
          </w:tcPr>
          <w:p w14:paraId="4F2766E6">
            <w:pPr>
              <w:spacing w:after="0" w:line="240" w:lineRule="auto"/>
              <w:jc w:val="center"/>
              <w:rPr>
                <w:rFonts w:cs="Times New Roman"/>
                <w:szCs w:val="26"/>
              </w:rPr>
            </w:pPr>
            <w:r>
              <w:rPr>
                <w:rFonts w:cs="Times New Roman"/>
                <w:szCs w:val="26"/>
              </w:rPr>
              <w:t>Số:           /CT-UBND</w:t>
            </w:r>
          </w:p>
        </w:tc>
        <w:tc>
          <w:tcPr>
            <w:tcW w:w="6379" w:type="dxa"/>
          </w:tcPr>
          <w:p w14:paraId="35A3592D">
            <w:pPr>
              <w:spacing w:after="0" w:line="240" w:lineRule="auto"/>
              <w:jc w:val="center"/>
              <w:rPr>
                <w:rFonts w:cs="Times New Roman"/>
                <w:szCs w:val="26"/>
              </w:rPr>
            </w:pPr>
            <w:r>
              <w:rPr>
                <w:rFonts w:cs="Times New Roman"/>
                <w:i/>
                <w:szCs w:val="28"/>
              </w:rPr>
              <w:t>Hà Nội, ngày     tháng     năm 2026</w:t>
            </w:r>
          </w:p>
        </w:tc>
      </w:tr>
    </w:tbl>
    <w:p w14:paraId="4604B103">
      <w:pPr>
        <w:spacing w:before="240" w:after="0" w:line="240" w:lineRule="auto"/>
        <w:jc w:val="center"/>
      </w:pPr>
      <w:r>
        <w:rPr>
          <w:b/>
          <w:sz w:val="28"/>
        </w:rPr>
        <w:t>CHỈ THỊ</w:t>
      </w:r>
    </w:p>
    <w:p w14:paraId="3D078DCA">
      <w:pPr>
        <w:spacing w:after="0" w:line="240" w:lineRule="auto"/>
        <w:jc w:val="center"/>
      </w:pPr>
      <w:r>
        <w:rPr>
          <w:b/>
          <w:sz w:val="28"/>
        </w:rPr>
        <w:t>Về thực hiện nhiệm vụ trọng tâm năm học 2026 - 2027</w:t>
      </w:r>
      <w:r>
        <w:rPr>
          <w:b/>
          <w:sz w:val="28"/>
        </w:rPr>
        <w:br w:type="textWrapping"/>
      </w:r>
      <w:r>
        <w:rPr>
          <w:b/>
          <w:sz w:val="28"/>
        </w:rPr>
        <w:t>trên địa bàn thành phố Hà Nội</w:t>
      </w:r>
    </w:p>
    <w:p w14:paraId="3BE186BC">
      <w:pPr>
        <w:adjustRightInd w:val="0"/>
        <w:snapToGrid w:val="0"/>
        <w:spacing w:before="120" w:after="0"/>
        <w:ind w:firstLine="720"/>
      </w:pPr>
      <w:r>
        <mc:AlternateContent>
          <mc:Choice Requires="wps">
            <w:drawing>
              <wp:anchor distT="0" distB="0" distL="114300" distR="114300" simplePos="0" relativeHeight="251661312" behindDoc="0" locked="0" layoutInCell="1" allowOverlap="1">
                <wp:simplePos x="0" y="0"/>
                <wp:positionH relativeFrom="column">
                  <wp:posOffset>1708150</wp:posOffset>
                </wp:positionH>
                <wp:positionV relativeFrom="paragraph">
                  <wp:posOffset>36195</wp:posOffset>
                </wp:positionV>
                <wp:extent cx="2313940" cy="0"/>
                <wp:effectExtent l="0" t="0" r="0" b="0"/>
                <wp:wrapNone/>
                <wp:docPr id="597389417" name="Straight Connector 4"/>
                <wp:cNvGraphicFramePr/>
                <a:graphic xmlns:a="http://schemas.openxmlformats.org/drawingml/2006/main">
                  <a:graphicData uri="http://schemas.microsoft.com/office/word/2010/wordprocessingShape">
                    <wps:wsp>
                      <wps:cNvCnPr/>
                      <wps:spPr>
                        <a:xfrm>
                          <a:off x="0" y="0"/>
                          <a:ext cx="2313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o:spt="20" style="position:absolute;left:0pt;margin-left:134.5pt;margin-top:2.85pt;height:0pt;width:182.2pt;z-index:251661312;mso-width-relative:page;mso-height-relative:page;" filled="f" stroked="t" coordsize="21600,21600" o:gfxdata="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lPaLnVAAAA&#10;BwEAAA8AAAAAAAAAAQAgAAAAIgAAAGRycy9kb3ducmV2LnhtbFBLAQIUABQAAAAIAIdO4kAiwtr0&#10;5wEAAN4DAAAOAAAAAAAAAAEAIAAAACQBAABkcnMvZTJvRG9jLnhtbFBLBQYAAAAABgAGAFkBAAB9&#10;BQAAAAA=&#10;">
                <v:fill on="f" focussize="0,0"/>
                <v:stroke color="#000000 [3200]" joinstyle="round"/>
                <v:imagedata o:title=""/>
                <o:lock v:ext="edit" aspectratio="f"/>
              </v:line>
            </w:pict>
          </mc:Fallback>
        </mc:AlternateContent>
      </w:r>
    </w:p>
    <w:p w14:paraId="186367D1">
      <w:pPr>
        <w:adjustRightInd w:val="0"/>
        <w:snapToGrid w:val="0"/>
        <w:spacing w:before="100" w:after="100" w:line="264" w:lineRule="auto"/>
        <w:ind w:firstLine="720"/>
        <w:rPr>
          <w:rFonts w:cs="Times New Roman"/>
          <w:sz w:val="28"/>
          <w:szCs w:val="28"/>
        </w:rPr>
      </w:pPr>
      <w:r>
        <w:rPr>
          <w:rFonts w:cs="Times New Roman"/>
          <w:sz w:val="28"/>
          <w:szCs w:val="28"/>
        </w:rPr>
        <w:t>Thực hiện Nghị quyết số 71-NQ/TW ngày 22 tháng 8 năm 2025 của Bộ Chính trị về đột phá phát triển giáo dục và đào tạo; Chỉ thị số 31/CT-TTg ngày 05 tháng 8 năm 2026 của Thủ tướng Chính phủ về thực hiện các nhiệm vụ trọng tâm năm học 2026 - 2027; các nghị quyết, chương trình, kế hoạch của Trung ương và Thành phố về phát triển giáo dục và đào tạo;</w:t>
      </w:r>
    </w:p>
    <w:p w14:paraId="38926EC1">
      <w:pPr>
        <w:adjustRightInd w:val="0"/>
        <w:snapToGrid w:val="0"/>
        <w:spacing w:before="100" w:after="100" w:line="264" w:lineRule="auto"/>
        <w:ind w:firstLine="720"/>
        <w:rPr>
          <w:rFonts w:cs="Times New Roman"/>
          <w:sz w:val="28"/>
          <w:szCs w:val="28"/>
        </w:rPr>
      </w:pPr>
      <w:r>
        <w:rPr>
          <w:rFonts w:cs="Times New Roman"/>
          <w:sz w:val="28"/>
          <w:szCs w:val="28"/>
        </w:rPr>
        <w:t>Năm học 2025 - 2026, ngành Giáo dục và Đào tạo Thủ đô đã có nhiều nỗ lực trong việc đổi mới công tác quản lý, duy trì chất lượng giáo dục đại trà, giáo dục mũi nhọn; đẩy mạnh chuyển đổi số, học bạ số và ứng dụng công nghệ trong quản lý, dạy học; chuẩn bị các điều kiện về đội ngũ, trường lớp, sách giáo khoa cho năm học mới. Việc sắp xếp mạng lưới cơ sở giáo dục gắn với mô hình chính quyền địa phương hai cấp được triển khai, góp phần tinh gọn đầu mối, sử dụng hiệu quả nguồn lực.</w:t>
      </w:r>
    </w:p>
    <w:p w14:paraId="64AFB3EF">
      <w:pPr>
        <w:adjustRightInd w:val="0"/>
        <w:snapToGrid w:val="0"/>
        <w:spacing w:before="100" w:after="100" w:line="264" w:lineRule="auto"/>
        <w:ind w:firstLine="720"/>
        <w:rPr>
          <w:rFonts w:cs="Times New Roman"/>
          <w:sz w:val="28"/>
          <w:szCs w:val="28"/>
        </w:rPr>
      </w:pPr>
      <w:r>
        <w:rPr>
          <w:rFonts w:cs="Times New Roman"/>
          <w:sz w:val="28"/>
          <w:szCs w:val="28"/>
        </w:rPr>
        <w:t>Tuy nhiên, quy mô học sinh tiếp tục tăng; một số địa bàn còn thiếu trường, lớp, giáo viên và quá tải cục bộ; cơ sở vật chất, thiết bị dạy học, hạ tầng số chưa đồng đều; quản trị cơ sở giáo dục sau sắp xếp đặt ra yêu cầu mới; công tác bảo đảm an toàn trường học, quản lý thu, chi, dạy thêm, học thêm cần tiếp tục được tăng cường.</w:t>
      </w:r>
    </w:p>
    <w:p w14:paraId="4396BF27">
      <w:pPr>
        <w:adjustRightInd w:val="0"/>
        <w:snapToGrid w:val="0"/>
        <w:spacing w:before="100" w:after="100" w:line="264" w:lineRule="auto"/>
        <w:ind w:firstLine="567"/>
        <w:rPr>
          <w:rFonts w:cs="Times New Roman"/>
          <w:sz w:val="28"/>
          <w:szCs w:val="28"/>
        </w:rPr>
      </w:pPr>
      <w:r>
        <w:rPr>
          <w:rFonts w:cs="Times New Roman"/>
          <w:sz w:val="28"/>
          <w:szCs w:val="28"/>
        </w:rPr>
        <w:t>Để tổ chức thực hiện đồng bộ, quyết liệt, hiệu quả các nhiệm vụ năm học 2026 - 2027; tạo chuyển biến thực chất trong quản trị và chất lượng giáo dục, Chủ tịch Ủy ban nhân dân Thành phố yêu cầu Giám đốc, Thủ trưởng các sở, ban, ngành; Chủ tịch Ủy ban nhân dân các xã, phường; người đứng đầu các cơ sở giáo dục, đào tạo trên địa bàn tập trung thực hiện các nhiệm vụ sau:</w:t>
      </w:r>
    </w:p>
    <w:p w14:paraId="09300128">
      <w:pPr>
        <w:adjustRightInd w:val="0"/>
        <w:snapToGrid w:val="0"/>
        <w:spacing w:before="100" w:after="100" w:line="264" w:lineRule="auto"/>
        <w:ind w:firstLine="567"/>
        <w:rPr>
          <w:rFonts w:cs="Times New Roman"/>
          <w:sz w:val="28"/>
          <w:szCs w:val="28"/>
        </w:rPr>
      </w:pPr>
      <w:r>
        <w:rPr>
          <w:rFonts w:cs="Times New Roman"/>
          <w:b/>
          <w:sz w:val="28"/>
          <w:szCs w:val="28"/>
        </w:rPr>
        <w:t>I. Sở Giáo dục và Đào tạo</w:t>
      </w:r>
    </w:p>
    <w:p w14:paraId="11A901AC">
      <w:pPr>
        <w:adjustRightInd w:val="0"/>
        <w:snapToGrid w:val="0"/>
        <w:spacing w:before="100" w:after="100" w:line="264" w:lineRule="auto"/>
        <w:ind w:firstLine="567"/>
        <w:rPr>
          <w:rFonts w:cs="Times New Roman"/>
          <w:sz w:val="28"/>
          <w:szCs w:val="28"/>
        </w:rPr>
      </w:pPr>
      <w:r>
        <w:rPr>
          <w:rFonts w:cs="Times New Roman"/>
          <w:sz w:val="28"/>
          <w:szCs w:val="28"/>
        </w:rPr>
        <w:t>Chủ trì, phối hợp các sở, ban, ngành và Ủy ban nhân dân các xã, phường quán triệt, hướng dẫn, đôn đốc các cơ sở giáo dục, đào tạo thực hiện nghiêm Chỉ thị số 31/CT-TTg ngày 05 tháng 8 năm 2026 của Thủ tướng Chính phủ và các nhiệm vụ năm học 2026 - 2027; tập trung vào các nội dung sau:</w:t>
      </w:r>
    </w:p>
    <w:p w14:paraId="1BB1E86C">
      <w:pPr>
        <w:adjustRightInd w:val="0"/>
        <w:snapToGrid w:val="0"/>
        <w:spacing w:before="100" w:after="100" w:line="264" w:lineRule="auto"/>
        <w:ind w:firstLine="567"/>
        <w:rPr>
          <w:rFonts w:cs="Times New Roman"/>
          <w:sz w:val="28"/>
          <w:szCs w:val="28"/>
        </w:rPr>
      </w:pPr>
      <w:r>
        <w:rPr>
          <w:rFonts w:cs="Times New Roman"/>
          <w:b/>
          <w:sz w:val="28"/>
          <w:szCs w:val="28"/>
        </w:rPr>
        <w:t>1. Quán triệt yêu cầu đổi mới quản trị, tăng cường kỷ cương và trách nhiệm thực thi</w:t>
      </w:r>
    </w:p>
    <w:p w14:paraId="132E2EE9">
      <w:pPr>
        <w:adjustRightInd w:val="0"/>
        <w:snapToGrid w:val="0"/>
        <w:spacing w:before="100" w:after="100" w:line="264" w:lineRule="auto"/>
        <w:ind w:firstLine="567"/>
        <w:rPr>
          <w:rFonts w:cs="Times New Roman"/>
          <w:sz w:val="28"/>
          <w:szCs w:val="28"/>
        </w:rPr>
      </w:pPr>
      <w:r>
        <w:rPr>
          <w:rFonts w:cs="Times New Roman"/>
          <w:sz w:val="28"/>
          <w:szCs w:val="28"/>
        </w:rPr>
        <w:t>Chuyển mạnh từ tư duy quản lý giáo dục sang quản trị phát triển; phát huy quyền chủ động của người đứng đầu cơ sở giáo dục gắn với trách nhiệm giải trình; phân định rõ thẩm quyền, trách nhiệm giữa cấp Thành phố, cấp xã và cơ sở giáo dục; lấy chất lượng, sự tiến bộ và an toàn của người học làm thước đo. Khai thác kết quả học tập, rèn luyện, chuyên cần, phản ánh của học sinh, cha mẹ học sinh và dữ liệu về các điều kiện bảo đảm để điều chỉnh kế hoạch giáo dục, phân công đội ngũ, hỗ trợ học sinh và cải tiến chất lượng.</w:t>
      </w:r>
    </w:p>
    <w:p w14:paraId="6DCA528B">
      <w:pPr>
        <w:adjustRightInd w:val="0"/>
        <w:snapToGrid w:val="0"/>
        <w:spacing w:before="100" w:after="100" w:line="264" w:lineRule="auto"/>
        <w:ind w:firstLine="567"/>
        <w:rPr>
          <w:rFonts w:cs="Times New Roman"/>
          <w:sz w:val="28"/>
          <w:szCs w:val="28"/>
        </w:rPr>
      </w:pPr>
      <w:r>
        <w:rPr>
          <w:rFonts w:cs="Times New Roman"/>
          <w:sz w:val="28"/>
          <w:szCs w:val="28"/>
        </w:rPr>
        <w:t>Tăng cường kỷ cương, trách nhiệm, văn hóa trung thực, liêm chính, thực chất; khắc phục bệnh thành tích trong dạy học, kiểm tra, đánh giá và báo cáo. Người đứng đầu cơ quan, đơn vị chịu trách nhiệm về tiến độ, chất lượng nhiệm vụ; chủ động xử lý vấn đề thuộc thẩm quyền, kịp thời báo cáo nội dung vượt thẩm quyền, không để khó khăn kéo dài ảnh hưởng đến quyền học tập của học sinh.</w:t>
      </w:r>
    </w:p>
    <w:p w14:paraId="05CD9DA7">
      <w:pPr>
        <w:adjustRightInd w:val="0"/>
        <w:snapToGrid w:val="0"/>
        <w:spacing w:before="100" w:after="100" w:line="264" w:lineRule="auto"/>
        <w:ind w:firstLine="567"/>
        <w:rPr>
          <w:rFonts w:cs="Times New Roman"/>
          <w:sz w:val="28"/>
          <w:szCs w:val="28"/>
        </w:rPr>
      </w:pPr>
      <w:r>
        <w:rPr>
          <w:rFonts w:cs="Times New Roman"/>
          <w:sz w:val="28"/>
          <w:szCs w:val="28"/>
        </w:rPr>
        <w:t>Đưa các chỉ tiêu phát triển giáo dục và đào tạo vào kế hoạch phát triển kinh tế - xã hội, kế hoạch đầu tư công và dự toán ngân sách của Thành phố, địa phương; tổ chức theo dõi bằng sản phẩm, kết quả và dữ liệu, hạn chế báo cáo trung gian, trùng lặp.</w:t>
      </w:r>
    </w:p>
    <w:p w14:paraId="3C25CC96">
      <w:pPr>
        <w:adjustRightInd w:val="0"/>
        <w:snapToGrid w:val="0"/>
        <w:spacing w:before="100" w:after="100" w:line="264" w:lineRule="auto"/>
        <w:ind w:firstLine="567"/>
        <w:rPr>
          <w:rFonts w:cs="Times New Roman"/>
          <w:sz w:val="28"/>
          <w:szCs w:val="28"/>
        </w:rPr>
      </w:pPr>
      <w:r>
        <w:rPr>
          <w:rFonts w:cs="Times New Roman"/>
          <w:b/>
          <w:sz w:val="28"/>
          <w:szCs w:val="28"/>
        </w:rPr>
        <w:t>2. Bảo đảm đầy đủ các điều kiện tổ chức năm học mới</w:t>
      </w:r>
    </w:p>
    <w:p w14:paraId="112663D2">
      <w:pPr>
        <w:adjustRightInd w:val="0"/>
        <w:snapToGrid w:val="0"/>
        <w:spacing w:before="100" w:after="100" w:line="264" w:lineRule="auto"/>
        <w:ind w:firstLine="567"/>
        <w:rPr>
          <w:rFonts w:cs="Times New Roman"/>
          <w:sz w:val="28"/>
          <w:szCs w:val="28"/>
        </w:rPr>
      </w:pPr>
      <w:r>
        <w:rPr>
          <w:rFonts w:cs="Times New Roman"/>
          <w:sz w:val="28"/>
          <w:szCs w:val="28"/>
        </w:rPr>
        <w:t>Ưu tiên cao nhất việc chuẩn bị năm học 2026 - 2027, bảo đảm giáo viên, trường, lớp, sách giáo khoa, thiết bị dạy học và các điều kiện thiết yếu; tổ chức tựu trường, khai giảng, dạy và học đúng khung kế hoạch thời gian năm học. Thực hiện giáo dục bắt buộc theo quy định; rà soát, cập nhật tình trạng đi học, chưa đi học, chuyển đi, chuyển đến, bỏ học và học sinh có nguy cơ gián đoạn học tập để kịp thời huy động, hỗ trợ, không để học sinh bỏ học vì hoàn cảnh khó khăn.</w:t>
      </w:r>
    </w:p>
    <w:p w14:paraId="08D03427">
      <w:pPr>
        <w:adjustRightInd w:val="0"/>
        <w:snapToGrid w:val="0"/>
        <w:spacing w:before="100" w:after="100" w:line="264" w:lineRule="auto"/>
        <w:ind w:firstLine="567"/>
        <w:rPr>
          <w:rFonts w:cs="Times New Roman"/>
          <w:sz w:val="28"/>
          <w:szCs w:val="28"/>
        </w:rPr>
      </w:pPr>
      <w:r>
        <w:rPr>
          <w:rFonts w:cs="Times New Roman"/>
          <w:sz w:val="28"/>
          <w:szCs w:val="28"/>
        </w:rPr>
        <w:t>Rà soát, điều tiết cơ sở vật chất, phòng học, đội ngũ giữa các điểm trường và địa bàn; có giải pháp giảm sĩ số, giảm quá tải tại khu vực đô thị, khu nhà ở mới, địa bàn tăng dân số cơ học; ưu tiên sửa chữa hạng mục xuống cấp, công trình vệ sinh, nước sạch, bếp ăn, nhà ăn, phòng cháy, chữa cháy, phòng học bộ môn, thư viện, nhà tập, sân tập và hạ tầng số.</w:t>
      </w:r>
    </w:p>
    <w:p w14:paraId="366D6CDF">
      <w:pPr>
        <w:adjustRightInd w:val="0"/>
        <w:snapToGrid w:val="0"/>
        <w:spacing w:before="100" w:after="100" w:line="264" w:lineRule="auto"/>
        <w:ind w:firstLine="567"/>
        <w:rPr>
          <w:rFonts w:cs="Times New Roman"/>
          <w:sz w:val="28"/>
          <w:szCs w:val="28"/>
        </w:rPr>
      </w:pPr>
      <w:r>
        <w:rPr>
          <w:rFonts w:cs="Times New Roman"/>
          <w:sz w:val="28"/>
          <w:szCs w:val="28"/>
        </w:rPr>
        <w:t>Bảo đảm cung ứng đầy đủ sách giáo khoa trước khi tổ chức dạy học; sử dụng hiệu quả một bộ sách giáo khoa giáo dục phổ thông thống nhất trong cả nước theo quy định. Rà soát, hỗ trợ sách giáo khoa, thiết bị và đồ dùng học tập cho học sinh thuộc hộ nghèo, cận nghèo, học sinh khuyết tật, học sinh có hoàn cảnh khó khăn hoặc có nguy cơ gián đoạn học tập; khắc phục rào cản về kinh tế, địa lý, khuyết tật, ngôn ngữ và biến động dân cư. Tham mưu lộ trình hỗ trợ sách giáo khoa phù hợp khả năng cân đối ngân sách, phấn đấu thực hiện miễn phí sách giáo khoa giáo dục phổ thông từ năm học 2027 - 2028.</w:t>
      </w:r>
    </w:p>
    <w:p w14:paraId="1EF68367">
      <w:pPr>
        <w:adjustRightInd w:val="0"/>
        <w:snapToGrid w:val="0"/>
        <w:spacing w:before="100" w:after="100" w:line="264" w:lineRule="auto"/>
        <w:ind w:firstLine="567"/>
        <w:rPr>
          <w:rFonts w:cs="Times New Roman"/>
          <w:sz w:val="28"/>
          <w:szCs w:val="28"/>
        </w:rPr>
      </w:pPr>
      <w:r>
        <w:rPr>
          <w:rFonts w:cs="Times New Roman"/>
          <w:b/>
          <w:sz w:val="28"/>
          <w:szCs w:val="28"/>
        </w:rPr>
        <w:t>3. Ổn định tổ chức, nâng cao hiệu quả quản trị cơ sở giáo dục sau sắp xếp</w:t>
      </w:r>
    </w:p>
    <w:p w14:paraId="721BB878">
      <w:pPr>
        <w:adjustRightInd w:val="0"/>
        <w:snapToGrid w:val="0"/>
        <w:spacing w:before="100" w:after="100" w:line="264" w:lineRule="auto"/>
        <w:ind w:firstLine="567"/>
        <w:rPr>
          <w:rFonts w:cs="Times New Roman"/>
          <w:sz w:val="28"/>
          <w:szCs w:val="28"/>
        </w:rPr>
      </w:pPr>
      <w:r>
        <w:rPr>
          <w:rFonts w:cs="Times New Roman"/>
          <w:sz w:val="28"/>
          <w:szCs w:val="28"/>
        </w:rPr>
        <w:t>Hoàn thành việc rà soát, sắp xếp cơ sở giáo dục công lập thuộc phạm vi quản lý đúng quy định; ổn định tổ chức, đội ngũ và các điều kiện hoạt động; duy trì liên tục hoạt động nuôi dưỡng, chăm sóc, giáo dục; hạn chế xáo trộn không cần thiết đối với đội ngũ và người học. Bảo đảm quyền học tập, cơ hội tiếp cận giáo dục, không làm phát sinh rào cản địa lý hoặc chi phí bất hợp lý; kịp thời giải quyết chế độ, chính sách đối với viên chức, người lao động chịu tác động của việc sắp xếp. Báo cáo kết quả theo yêu cầu của Thủ tướng Chính phủ trước ngày 01 tháng 9 năm 2026.</w:t>
      </w:r>
    </w:p>
    <w:p w14:paraId="2C80BA52">
      <w:pPr>
        <w:adjustRightInd w:val="0"/>
        <w:snapToGrid w:val="0"/>
        <w:spacing w:before="100" w:after="100" w:line="264" w:lineRule="auto"/>
        <w:ind w:firstLine="567"/>
        <w:rPr>
          <w:rFonts w:cs="Times New Roman"/>
          <w:sz w:val="28"/>
          <w:szCs w:val="28"/>
        </w:rPr>
      </w:pPr>
      <w:r>
        <w:rPr>
          <w:rFonts w:cs="Times New Roman"/>
          <w:sz w:val="28"/>
          <w:szCs w:val="28"/>
        </w:rPr>
        <w:t>Đối với trường cùng cấp có nhiều địa điểm và trường liên cấp tiểu học - trung học cơ sở, khẩn trương hoàn thiện quy chế tổ chức và hoạt động, quy chế phối hợp, phân công lãnh đạo, tổ chuyên môn, đầu mối phụ trách từng cấp học, phân hiệu, điểm trường; thống nhất các nội dung quản trị chung, đồng bộ hạ tầng công nghệ thông tin, quản lý tài sản công và tổ chức linh hoạt hoạt động chuyên môn phù hợp đặc thù từng cấp học, điểm trường.</w:t>
      </w:r>
    </w:p>
    <w:p w14:paraId="6178B6D3">
      <w:pPr>
        <w:adjustRightInd w:val="0"/>
        <w:snapToGrid w:val="0"/>
        <w:spacing w:before="100" w:after="100" w:line="264" w:lineRule="auto"/>
        <w:ind w:firstLine="567"/>
        <w:rPr>
          <w:rFonts w:cs="Times New Roman"/>
          <w:sz w:val="28"/>
          <w:szCs w:val="28"/>
        </w:rPr>
      </w:pPr>
      <w:r>
        <w:rPr>
          <w:rFonts w:cs="Times New Roman"/>
          <w:sz w:val="28"/>
          <w:szCs w:val="28"/>
        </w:rPr>
        <w:t>Tổ chức sinh hoạt chuyên môn theo cấp học, môn học và cụm chuyên môn; bảo đảm tính liên tục của chương trình, thời khóa biểu, hồ sơ học sinh, kiểm tra, đánh giá và hoạt động bán trú. Không thực hiện sáp nhập cơ học, không làm gián đoạn việc dạy học; sử dụng hiệu quả đội ngũ, cơ sở vật chất, tài chính và dữ liệu sau sắp xếp.</w:t>
      </w:r>
    </w:p>
    <w:p w14:paraId="6F0AB117">
      <w:pPr>
        <w:adjustRightInd w:val="0"/>
        <w:snapToGrid w:val="0"/>
        <w:spacing w:before="100" w:after="100" w:line="264" w:lineRule="auto"/>
        <w:ind w:firstLine="567"/>
        <w:rPr>
          <w:rFonts w:cs="Times New Roman"/>
          <w:sz w:val="28"/>
          <w:szCs w:val="28"/>
        </w:rPr>
      </w:pPr>
      <w:r>
        <w:rPr>
          <w:rFonts w:cs="Times New Roman"/>
          <w:b/>
          <w:sz w:val="28"/>
          <w:szCs w:val="28"/>
        </w:rPr>
        <w:t>4. Tổ chức thực hiện hiệu quả chương trình giáo dục, nâng cao chất lượng và phát triển toàn diện học sinh</w:t>
      </w:r>
    </w:p>
    <w:p w14:paraId="0838A38A">
      <w:pPr>
        <w:adjustRightInd w:val="0"/>
        <w:snapToGrid w:val="0"/>
        <w:spacing w:before="100" w:after="100" w:line="264" w:lineRule="auto"/>
        <w:ind w:firstLine="567"/>
        <w:rPr>
          <w:rFonts w:cs="Times New Roman"/>
          <w:sz w:val="28"/>
          <w:szCs w:val="28"/>
        </w:rPr>
      </w:pPr>
      <w:r>
        <w:rPr>
          <w:rFonts w:cs="Times New Roman"/>
          <w:sz w:val="28"/>
          <w:szCs w:val="28"/>
        </w:rPr>
        <w:t>Thực hiện hiệu quả Chương trình giáo dục mầm non, Chương trình giáo dục phổ thông 2018 và chương trình giáo dục thường xuyên; triển khai thí điểm Chương trình giáo dục mầm non mới theo hướng dẫn của Bộ Giáo dục và Đào tạo. Xây dựng kế hoạch giáo dục nhà trường phù hợp điều kiện thực tế, bảo đảm đầy đủ yêu cầu cần đạt, nội dung và thời lượng; không cắt xén chương trình, không tổ chức mang tính hình thức, gây quá tải; quan tâm hỗ trợ học sinh đầu cấp, học sinh chuyển trường và học sinh chưa đáp ứng yêu cầu cần đạt. Tổ chức dạy học 2 buổi/ngày theo lộ trình, hướng dẫn và điều kiện bảo đảm, không áp dụng đồng loạt khi chưa đáp ứng đủ đội ngũ, cơ sở vật chất.</w:t>
      </w:r>
    </w:p>
    <w:p w14:paraId="7FE6930F">
      <w:pPr>
        <w:adjustRightInd w:val="0"/>
        <w:snapToGrid w:val="0"/>
        <w:spacing w:before="100" w:after="100" w:line="264" w:lineRule="auto"/>
        <w:ind w:firstLine="567"/>
        <w:rPr>
          <w:rFonts w:cs="Times New Roman"/>
          <w:sz w:val="28"/>
          <w:szCs w:val="28"/>
        </w:rPr>
      </w:pPr>
      <w:r>
        <w:rPr>
          <w:rFonts w:cs="Times New Roman"/>
          <w:sz w:val="28"/>
          <w:szCs w:val="28"/>
        </w:rPr>
        <w:t>Tiếp tục đổi mới phương pháp dạy học, kiểm tra, đánh giá theo hướng phát triển phẩm chất, năng lực; đánh giá đúng thực chất, giảm áp lực và số lượng cuộc thi không cần thiết. Tổ chức nghiêm túc, an toàn, khách quan các kỳ thi, tuyển sinh thuộc thẩm quyền; chuẩn bị sớm các điều kiện tổ chức Kỳ thi tốt nghiệp trung học phổ thông năm 2027, phòng ngừa, phát hiện và xử lý nghiêm gian lận.</w:t>
      </w:r>
    </w:p>
    <w:p w14:paraId="4BA4B3EA">
      <w:pPr>
        <w:adjustRightInd w:val="0"/>
        <w:snapToGrid w:val="0"/>
        <w:spacing w:before="100" w:after="100" w:line="264" w:lineRule="auto"/>
        <w:ind w:firstLine="567"/>
        <w:rPr>
          <w:rFonts w:cs="Times New Roman"/>
          <w:sz w:val="28"/>
          <w:szCs w:val="28"/>
        </w:rPr>
      </w:pPr>
      <w:r>
        <w:rPr>
          <w:rFonts w:cs="Times New Roman"/>
          <w:sz w:val="28"/>
          <w:szCs w:val="28"/>
        </w:rPr>
        <w:t>Tăng cường giáo dục STEM/STEAM, khoa học, công nghệ, đổi mới sáng tạo, năng lực số và nội dung giáo dục trí tuệ nhân tạo phù hợp từng cấp học; gắn giáo dục hướng nghiệp với năng lực, sở trường của học sinh, nhu cầu nhân lực và hệ sinh thái đổi mới sáng tạo của Thủ đô.</w:t>
      </w:r>
    </w:p>
    <w:p w14:paraId="0896EF74">
      <w:pPr>
        <w:adjustRightInd w:val="0"/>
        <w:snapToGrid w:val="0"/>
        <w:spacing w:before="100" w:after="100" w:line="264" w:lineRule="auto"/>
        <w:ind w:firstLine="567"/>
        <w:rPr>
          <w:rFonts w:cs="Times New Roman"/>
          <w:sz w:val="28"/>
          <w:szCs w:val="28"/>
        </w:rPr>
      </w:pPr>
      <w:r>
        <w:rPr>
          <w:rFonts w:cs="Times New Roman"/>
          <w:sz w:val="28"/>
          <w:szCs w:val="28"/>
        </w:rPr>
        <w:t>Triển khai các nhiệm vụ đưa tiếng Anh từng bước trở thành ngôn ngữ thứ hai trong trường học theo kế hoạch được cấp có thẩm quyền phê duyệt; phát triển môi trường sử dụng tiếng Anh, nâng cao năng lực đội ngũ, tăng cường ứng dụng công nghệ và tổ chức dạy học một số nội dung, môn học bằng tiếng Anh tại cơ sở đủ điều kiện, bảo đảm tự nguyện, chất lượng, công bằng và đúng quy định.</w:t>
      </w:r>
    </w:p>
    <w:p w14:paraId="216CE7A5">
      <w:pPr>
        <w:adjustRightInd w:val="0"/>
        <w:snapToGrid w:val="0"/>
        <w:spacing w:before="100" w:after="100" w:line="264" w:lineRule="auto"/>
        <w:ind w:firstLine="567"/>
        <w:rPr>
          <w:rFonts w:cs="Times New Roman"/>
          <w:sz w:val="28"/>
          <w:szCs w:val="28"/>
        </w:rPr>
      </w:pPr>
      <w:r>
        <w:rPr>
          <w:rFonts w:cs="Times New Roman"/>
          <w:sz w:val="28"/>
          <w:szCs w:val="28"/>
        </w:rPr>
        <w:t>Đẩy mạnh giáo dục toàn diện về đạo đức, lối sống, văn hóa ứng xử, truyền thống lịch sử - văn hóa Thăng Long - Hà Nội, ý thức pháp luật, trách nhiệm công dân, khát vọng cống hiến; tăng cường giáo dục thể chất, thể thao trường học, nghệ thuật, kỹ năng sống, sức khỏe tinh thần và năng lực cảm xúc - xã hội. Phát triển câu lạc bộ, hoạt động trải nghiệm phù hợp; không để hoạt động tăng cường làm giảm thời lượng, chất lượng chương trình chính khóa hoặc tạo áp lực đóng góp.</w:t>
      </w:r>
    </w:p>
    <w:p w14:paraId="69FF68C0">
      <w:pPr>
        <w:adjustRightInd w:val="0"/>
        <w:snapToGrid w:val="0"/>
        <w:spacing w:before="100" w:after="100" w:line="264" w:lineRule="auto"/>
        <w:ind w:firstLine="567"/>
        <w:rPr>
          <w:rFonts w:cs="Times New Roman"/>
          <w:sz w:val="28"/>
          <w:szCs w:val="28"/>
        </w:rPr>
      </w:pPr>
      <w:r>
        <w:rPr>
          <w:rFonts w:cs="Times New Roman"/>
          <w:b/>
          <w:sz w:val="28"/>
          <w:szCs w:val="28"/>
        </w:rPr>
        <w:t>5. Phát triển đội ngũ nhà giáo và nâng cao năng lực quản lý giáo dục cấp xã</w:t>
      </w:r>
    </w:p>
    <w:p w14:paraId="0662765B">
      <w:pPr>
        <w:adjustRightInd w:val="0"/>
        <w:snapToGrid w:val="0"/>
        <w:spacing w:before="100" w:after="100" w:line="264" w:lineRule="auto"/>
        <w:ind w:firstLine="567"/>
        <w:rPr>
          <w:rFonts w:cs="Times New Roman"/>
          <w:sz w:val="28"/>
          <w:szCs w:val="28"/>
        </w:rPr>
      </w:pPr>
      <w:r>
        <w:rPr>
          <w:rFonts w:cs="Times New Roman"/>
          <w:sz w:val="28"/>
          <w:szCs w:val="28"/>
        </w:rPr>
        <w:t>Rà soát, cơ cấu lại đội ngũ theo hướng giảm vị trí quản lý, hành chính và vị trí dùng chung dôi dư, tăng giáo viên trực tiếp giảng dạy; thực hiện tuyển dụng, ký hợp đồng lao động, điều động, biệt phái, thuyên chuyển giáo viên theo thẩm quyền, phân cấp, ủy quyền và phạm vi quản lý, bảo đảm công khai, minh bạch; phối hợp điều tiết đội ngũ để khắc phục tình trạng thừa, thiếu cục bộ. Nghiên cứu tổ chức dạy học liên trường, theo cụm trường hoặc kết hợp trực tiếp với trực tuyến đối với môn học, địa bàn còn thiếu giáo viên, bảo đảm chất lượng và quyền lợi của nhà giáo, học sinh.</w:t>
      </w:r>
    </w:p>
    <w:p w14:paraId="0A63240E">
      <w:pPr>
        <w:adjustRightInd w:val="0"/>
        <w:snapToGrid w:val="0"/>
        <w:spacing w:before="100" w:after="100" w:line="264" w:lineRule="auto"/>
        <w:ind w:firstLine="567"/>
        <w:rPr>
          <w:rFonts w:cs="Times New Roman"/>
          <w:sz w:val="28"/>
          <w:szCs w:val="28"/>
        </w:rPr>
      </w:pPr>
      <w:r>
        <w:rPr>
          <w:rFonts w:cs="Times New Roman"/>
          <w:sz w:val="28"/>
          <w:szCs w:val="28"/>
        </w:rPr>
        <w:t>Ưu tiên giáo viên các môn Tin học, Ngoại ngữ, Nghệ thuật, Công nghệ và các môn còn thiếu; thực hiện đầy đủ, kịp thời chế độ, chính sách đối với nhà giáo, cán bộ quản lý, nhân viên trường học. Tăng cường bồi dưỡng về quản trị trường học nhiều cấp, nhiều điểm trường, năng lực số, ngoại ngữ, STEM/STEAM, trí tuệ nhân tạo, tư vấn tâm lý và giáo dục hòa nhập.</w:t>
      </w:r>
    </w:p>
    <w:p w14:paraId="186AD9E5">
      <w:pPr>
        <w:adjustRightInd w:val="0"/>
        <w:snapToGrid w:val="0"/>
        <w:spacing w:before="100" w:after="100" w:line="264" w:lineRule="auto"/>
        <w:ind w:firstLine="567"/>
        <w:rPr>
          <w:rFonts w:cs="Times New Roman"/>
          <w:sz w:val="28"/>
          <w:szCs w:val="28"/>
        </w:rPr>
      </w:pPr>
      <w:r>
        <w:rPr>
          <w:rFonts w:cs="Times New Roman"/>
          <w:sz w:val="28"/>
          <w:szCs w:val="28"/>
        </w:rPr>
        <w:t>Phối hợp Sở Nội vụ và Ủy ban nhân dân các xã, phường kiện toàn đầu mối tham mưu quản lý nhà nước về giáo dục; tổ chức bồi dưỡng, hướng dẫn nghiệp vụ và duy trì cơ chế phối hợp thường xuyên giữa Sở Giáo dục và Đào tạo với Phòng Văn hóa - Xã hội thuộc Ủy ban nhân dân xã, phường.</w:t>
      </w:r>
    </w:p>
    <w:p w14:paraId="5635F17E">
      <w:pPr>
        <w:adjustRightInd w:val="0"/>
        <w:snapToGrid w:val="0"/>
        <w:spacing w:before="100" w:after="100" w:line="264" w:lineRule="auto"/>
        <w:ind w:firstLine="567"/>
        <w:rPr>
          <w:rFonts w:cs="Times New Roman"/>
          <w:sz w:val="28"/>
          <w:szCs w:val="28"/>
        </w:rPr>
      </w:pPr>
      <w:r>
        <w:rPr>
          <w:rFonts w:cs="Times New Roman"/>
          <w:sz w:val="28"/>
          <w:szCs w:val="28"/>
        </w:rPr>
        <w:t>Cắt giảm hồ sơ, sổ sách, hội họp và báo cáo không cần thiết; sử dụng dữ liệu số dùng chung; không phát sinh thủ tục ngoài quy định, tạo điều kiện để nhà giáo tập trung thực hiện nhiệm vụ chuyên môn và giáo dục học sinh.</w:t>
      </w:r>
    </w:p>
    <w:p w14:paraId="6E7E5DAA">
      <w:pPr>
        <w:adjustRightInd w:val="0"/>
        <w:snapToGrid w:val="0"/>
        <w:spacing w:before="100" w:after="100" w:line="264" w:lineRule="auto"/>
        <w:ind w:firstLine="567"/>
        <w:rPr>
          <w:rFonts w:cs="Times New Roman"/>
          <w:sz w:val="28"/>
          <w:szCs w:val="28"/>
        </w:rPr>
      </w:pPr>
      <w:r>
        <w:rPr>
          <w:rFonts w:cs="Times New Roman"/>
          <w:b/>
          <w:sz w:val="28"/>
          <w:szCs w:val="28"/>
        </w:rPr>
        <w:t>6. Đẩy mạnh chuyển đổi số, dữ liệu và ứng dụng trí tuệ nhân tạo có kiểm soát</w:t>
      </w:r>
    </w:p>
    <w:p w14:paraId="00DC3C5F">
      <w:pPr>
        <w:adjustRightInd w:val="0"/>
        <w:snapToGrid w:val="0"/>
        <w:spacing w:before="100" w:after="100" w:line="264" w:lineRule="auto"/>
        <w:ind w:firstLine="567"/>
        <w:rPr>
          <w:rFonts w:cs="Times New Roman"/>
          <w:sz w:val="28"/>
          <w:szCs w:val="28"/>
        </w:rPr>
      </w:pPr>
      <w:r>
        <w:rPr>
          <w:rFonts w:cs="Times New Roman"/>
          <w:sz w:val="28"/>
          <w:szCs w:val="28"/>
        </w:rPr>
        <w:t>Phát triển hệ sinh thái giáo dục số thống nhất của Thành phố; hoàn thiện cơ sở dữ liệu ngành, học bạ số, hồ sơ số, mã định danh học tập, kho học liệu số và nền tảng dùng chung; bảo đảm dữ liệu đúng, đủ, sạch, sống, liên thông và kết nối an toàn với cơ sở dữ liệu quốc gia theo quy định. Không yêu cầu người học, cha mẹ học sinh và cơ sở giáo dục cung cấp lại thông tin đã có trên hệ thống; khai thác dữ liệu để phát hiện kịp thời thiếu hụt về đội ngũ, trường lớp, cơ sở vật chất, thiết bị, chính sách hỗ trợ và nguy cơ ảnh hưởng đến chất lượng, an toàn.</w:t>
      </w:r>
    </w:p>
    <w:p w14:paraId="1C04B47F">
      <w:pPr>
        <w:adjustRightInd w:val="0"/>
        <w:snapToGrid w:val="0"/>
        <w:spacing w:before="100" w:after="100" w:line="264" w:lineRule="auto"/>
        <w:ind w:firstLine="567"/>
        <w:rPr>
          <w:rFonts w:cs="Times New Roman"/>
          <w:sz w:val="28"/>
          <w:szCs w:val="28"/>
        </w:rPr>
      </w:pPr>
      <w:r>
        <w:rPr>
          <w:rFonts w:cs="Times New Roman"/>
          <w:sz w:val="28"/>
          <w:szCs w:val="28"/>
        </w:rPr>
        <w:t>Ứng dụng trí tuệ nhân tạo có kiểm soát trong quản trị, dạy học, hỗ trợ cá thể hóa học tập, kiểm tra, đánh giá và dự báo; xác định rõ trách nhiệm của người sử dụng, bảo vệ dữ liệu cá nhân, quyền trẻ em, bản quyền và tính trung thực học thuật; không sử dụng kết quả do trí tuệ nhân tạo tạo ra để thay thế hoàn toàn đánh giá chuyên môn của nhà giáo.</w:t>
      </w:r>
    </w:p>
    <w:p w14:paraId="7B8D3783">
      <w:pPr>
        <w:adjustRightInd w:val="0"/>
        <w:snapToGrid w:val="0"/>
        <w:spacing w:before="100" w:after="100" w:line="264" w:lineRule="auto"/>
        <w:ind w:firstLine="567"/>
        <w:rPr>
          <w:rFonts w:cs="Times New Roman"/>
          <w:sz w:val="28"/>
          <w:szCs w:val="28"/>
        </w:rPr>
      </w:pPr>
      <w:r>
        <w:rPr>
          <w:rFonts w:cs="Times New Roman"/>
          <w:sz w:val="28"/>
          <w:szCs w:val="28"/>
        </w:rPr>
        <w:t>Mỗi cơ quan, đơn vị chủ quản hệ thống thông tin chịu trách nhiệm bảo đảm an toàn thông tin đối với hệ thống thuộc phạm vi quản lý; Công an Thành phố hướng dẫn, kiểm tra, phối hợp xử lý sự cố theo chức năng. Tăng cường kỹ năng số, kỹ năng tự bảo vệ, nhận diện thông tin xấu độc và sử dụng mạng xã hội, điện thoại thông minh, trí tuệ nhân tạo an toàn, có trách nhiệm.</w:t>
      </w:r>
    </w:p>
    <w:p w14:paraId="73979DF3">
      <w:pPr>
        <w:adjustRightInd w:val="0"/>
        <w:snapToGrid w:val="0"/>
        <w:spacing w:before="100" w:after="100" w:line="264" w:lineRule="auto"/>
        <w:ind w:firstLine="567"/>
        <w:rPr>
          <w:rFonts w:cs="Times New Roman"/>
          <w:sz w:val="28"/>
          <w:szCs w:val="28"/>
        </w:rPr>
      </w:pPr>
      <w:r>
        <w:rPr>
          <w:rFonts w:cs="Times New Roman"/>
          <w:b/>
          <w:sz w:val="28"/>
          <w:szCs w:val="28"/>
        </w:rPr>
        <w:t>7. Bảo đảm an toàn, sức khỏe và xây dựng văn hóa học đường</w:t>
      </w:r>
    </w:p>
    <w:p w14:paraId="1A937787">
      <w:pPr>
        <w:adjustRightInd w:val="0"/>
        <w:snapToGrid w:val="0"/>
        <w:spacing w:before="100" w:after="100" w:line="264" w:lineRule="auto"/>
        <w:ind w:firstLine="567"/>
        <w:rPr>
          <w:rFonts w:cs="Times New Roman"/>
          <w:sz w:val="28"/>
          <w:szCs w:val="28"/>
        </w:rPr>
      </w:pPr>
      <w:r>
        <w:rPr>
          <w:rFonts w:cs="Times New Roman"/>
          <w:sz w:val="28"/>
          <w:szCs w:val="28"/>
        </w:rPr>
        <w:t>Xây dựng môi trường giáo dục an toàn, lành mạnh, kỷ cương, nhân văn; tăng cường quản lý đạo đức nhà giáo, văn hóa ứng xử; chủ động phòng ngừa, phát hiện, xử lý hành vi xâm phạm danh dự, nhân phẩm của nhà giáo và học sinh. Nâng cao chất lượng tư vấn tâm lý, công tác xã hội, chăm sóc sức khỏe học đường; hỗ trợ học sinh gặp khó khăn tâm lý, áp lực học tập và nguy cơ trên môi trường số; phòng, chống bạo lực học đường, xâm hại trẻ em, thuốc lá điện tử, ma túy và tệ nạn xã hội.</w:t>
      </w:r>
    </w:p>
    <w:p w14:paraId="265D4073">
      <w:pPr>
        <w:adjustRightInd w:val="0"/>
        <w:snapToGrid w:val="0"/>
        <w:spacing w:before="100" w:after="100" w:line="264" w:lineRule="auto"/>
        <w:ind w:firstLine="567"/>
        <w:rPr>
          <w:rFonts w:cs="Times New Roman"/>
          <w:sz w:val="28"/>
          <w:szCs w:val="28"/>
        </w:rPr>
      </w:pPr>
    </w:p>
    <w:p w14:paraId="627E3D6A">
      <w:pPr>
        <w:adjustRightInd w:val="0"/>
        <w:snapToGrid w:val="0"/>
        <w:spacing w:before="100" w:after="100" w:line="264" w:lineRule="auto"/>
        <w:ind w:firstLine="567"/>
        <w:rPr>
          <w:rFonts w:cs="Times New Roman"/>
          <w:sz w:val="28"/>
          <w:szCs w:val="28"/>
        </w:rPr>
      </w:pPr>
      <w:r>
        <w:rPr>
          <w:rFonts w:cs="Times New Roman"/>
          <w:sz w:val="28"/>
          <w:szCs w:val="28"/>
        </w:rPr>
        <w:t>Rà soát điều kiện tổ chức bán trú, bếp ăn, căng tin; thực hiện nghiêm quy định về an toàn thực phẩm, dinh dưỡng học đường, truy xuất nguồn gốc thực phẩm, kiểm soát nhà cung cấp; xử lý nghiêm vi phạm. Phối hợp nhà trường - gia đình - y tế - công an - đoàn thể để phát hiện sớm, can thiệp và xử lý kịp thời nguy cơ mất an toàn.</w:t>
      </w:r>
    </w:p>
    <w:p w14:paraId="2006E9D8">
      <w:pPr>
        <w:adjustRightInd w:val="0"/>
        <w:snapToGrid w:val="0"/>
        <w:spacing w:before="100" w:after="100" w:line="264" w:lineRule="auto"/>
        <w:ind w:firstLine="567"/>
        <w:rPr>
          <w:rFonts w:cs="Times New Roman"/>
          <w:sz w:val="28"/>
          <w:szCs w:val="28"/>
        </w:rPr>
      </w:pPr>
      <w:r>
        <w:rPr>
          <w:rFonts w:cs="Times New Roman"/>
          <w:sz w:val="28"/>
          <w:szCs w:val="28"/>
        </w:rPr>
        <w:t>Bảo đảm an ninh, trật tự, an toàn giao thông, phòng cháy, chữa cháy, phòng chống tai nạn thương tích, đuối nước, dịch bệnh trong và xung quanh trường học; tổ chức phương án ứng phó thiên tai, thời tiết cực đoan và tình huống khẩn cấp, không để bị động, bất ngờ.</w:t>
      </w:r>
    </w:p>
    <w:p w14:paraId="4445D13F">
      <w:pPr>
        <w:adjustRightInd w:val="0"/>
        <w:snapToGrid w:val="0"/>
        <w:spacing w:before="100" w:after="100" w:line="264" w:lineRule="auto"/>
        <w:ind w:firstLine="567"/>
        <w:rPr>
          <w:rFonts w:cs="Times New Roman"/>
          <w:sz w:val="28"/>
          <w:szCs w:val="28"/>
        </w:rPr>
      </w:pPr>
      <w:r>
        <w:rPr>
          <w:rFonts w:cs="Times New Roman"/>
          <w:b/>
          <w:sz w:val="28"/>
          <w:szCs w:val="28"/>
        </w:rPr>
        <w:t>8. Quản lý chặt chẽ các khoản thu, dạy thêm, học thêm và hoạt động giáo dục tăng cường</w:t>
      </w:r>
    </w:p>
    <w:p w14:paraId="45792631">
      <w:pPr>
        <w:adjustRightInd w:val="0"/>
        <w:snapToGrid w:val="0"/>
        <w:spacing w:before="100" w:after="100" w:line="264" w:lineRule="auto"/>
        <w:ind w:firstLine="567"/>
        <w:rPr>
          <w:rFonts w:cs="Times New Roman"/>
          <w:sz w:val="28"/>
          <w:szCs w:val="28"/>
        </w:rPr>
      </w:pPr>
      <w:r>
        <w:rPr>
          <w:rFonts w:cs="Times New Roman"/>
          <w:sz w:val="28"/>
          <w:szCs w:val="28"/>
        </w:rPr>
        <w:t>Thực hiện công khai, minh bạch các khoản thu, chi, điều kiện bảo đảm chất lượng và cam kết chất lượng theo quy định; không vận động, ép buộc đóng góp; công khai đầu mối tiếp nhận, xử lý phản ánh về lạm thu, dạy thêm, học thêm và các hành vi gây áp lực đối với học sinh, cha mẹ học sinh.</w:t>
      </w:r>
    </w:p>
    <w:p w14:paraId="53BB0A81">
      <w:pPr>
        <w:adjustRightInd w:val="0"/>
        <w:snapToGrid w:val="0"/>
        <w:spacing w:before="100" w:after="100" w:line="264" w:lineRule="auto"/>
        <w:ind w:firstLine="567"/>
        <w:rPr>
          <w:rFonts w:cs="Times New Roman"/>
          <w:sz w:val="28"/>
          <w:szCs w:val="28"/>
        </w:rPr>
      </w:pPr>
      <w:r>
        <w:rPr>
          <w:rFonts w:cs="Times New Roman"/>
          <w:sz w:val="28"/>
          <w:szCs w:val="28"/>
        </w:rPr>
        <w:t>Tăng cường kiểm tra, hậu kiểm dạy thêm, học thêm, liên kết giáo dục và hoạt động giáo dục tăng cường; không tổ chức hoạt động liên kết giáo dục trong giờ học chính khóa; bảo đảm nguyên tắc tự nguyện, công khai, đúng thẩm quyền và không thương mại hóa môi trường giáo dục. Xử lý nghiêm người đứng đầu cơ sở giáo dục và cơ quan quản lý trực tiếp nếu để xảy ra lạm thu, ép buộc hoặc gợi ý học thêm trái quy định.</w:t>
      </w:r>
    </w:p>
    <w:p w14:paraId="07A152CA">
      <w:pPr>
        <w:adjustRightInd w:val="0"/>
        <w:snapToGrid w:val="0"/>
        <w:spacing w:before="100" w:after="100" w:line="264" w:lineRule="auto"/>
        <w:ind w:firstLine="567"/>
        <w:rPr>
          <w:rFonts w:cs="Times New Roman"/>
          <w:sz w:val="28"/>
          <w:szCs w:val="28"/>
        </w:rPr>
      </w:pPr>
      <w:r>
        <w:rPr>
          <w:rFonts w:cs="Times New Roman"/>
          <w:b/>
          <w:sz w:val="28"/>
          <w:szCs w:val="28"/>
        </w:rPr>
        <w:t>9. Huy động và sử dụng hiệu quả nguồn lực phát triển giáo dục</w:t>
      </w:r>
    </w:p>
    <w:p w14:paraId="52F1C734">
      <w:pPr>
        <w:adjustRightInd w:val="0"/>
        <w:snapToGrid w:val="0"/>
        <w:spacing w:before="100" w:after="100" w:line="264" w:lineRule="auto"/>
        <w:ind w:firstLine="567"/>
        <w:rPr>
          <w:rFonts w:cs="Times New Roman"/>
          <w:sz w:val="28"/>
          <w:szCs w:val="28"/>
        </w:rPr>
      </w:pPr>
      <w:r>
        <w:rPr>
          <w:rFonts w:cs="Times New Roman"/>
          <w:sz w:val="28"/>
          <w:szCs w:val="28"/>
        </w:rPr>
        <w:t>Ưu tiên bố trí ngân sách cho các nhiệm vụ cấp bách, trọng tâm; bảo đảm kinh phí thực hiện chế độ, chính sách đối với người dạy và người học ngay từ đầu năm học; lồng ghép hiệu quả nguồn lực đầu tư công, ngân sách thường xuyên và nguồn lực hợp pháp khác, không làm tăng gánh nặng đóng góp của người dân.</w:t>
      </w:r>
    </w:p>
    <w:p w14:paraId="2073FC18">
      <w:pPr>
        <w:adjustRightInd w:val="0"/>
        <w:snapToGrid w:val="0"/>
        <w:spacing w:before="100" w:after="100" w:line="264" w:lineRule="auto"/>
        <w:ind w:firstLine="567"/>
        <w:rPr>
          <w:rFonts w:cs="Times New Roman"/>
          <w:sz w:val="28"/>
          <w:szCs w:val="28"/>
        </w:rPr>
      </w:pPr>
      <w:r>
        <w:rPr>
          <w:rFonts w:cs="Times New Roman"/>
          <w:sz w:val="28"/>
          <w:szCs w:val="28"/>
        </w:rPr>
        <w:t>Rà soát, hoàn thiện quy hoạch mạng lưới cơ sở giáo dục tương thích với quy mô, phân bố dân số và định hướng phát triển đô thị; tháo gỡ khó khăn về quỹ đất, thủ tục đầu tư xây dựng trường học tại địa bàn thiếu trường, lớp; nghiên cứu chuyển đổi công năng trụ sở, công trình dôi dư sau sắp xếp thành cơ sở giáo dục theo quy định.</w:t>
      </w:r>
    </w:p>
    <w:p w14:paraId="1C9AF545">
      <w:pPr>
        <w:adjustRightInd w:val="0"/>
        <w:snapToGrid w:val="0"/>
        <w:spacing w:before="100" w:after="100" w:line="264" w:lineRule="auto"/>
        <w:ind w:firstLine="567"/>
        <w:rPr>
          <w:rFonts w:cs="Times New Roman"/>
          <w:sz w:val="28"/>
          <w:szCs w:val="28"/>
        </w:rPr>
      </w:pPr>
      <w:r>
        <w:rPr>
          <w:rFonts w:cs="Times New Roman"/>
          <w:sz w:val="28"/>
          <w:szCs w:val="28"/>
        </w:rPr>
        <w:t>Khuyến khích hợp tác công - tư, phát triển cơ sở giáo dục ngoài công lập có chất lượng; tăng cường hợp tác giữa cơ sở giáo dục phổ thông, giáo dục nghề nghiệp, giáo dục đại học với doanh nghiệp, viện nghiên cứu; thực hiện đặt hàng, giao nhiệm vụ gắn với kết quả đầu ra và nhu cầu nhân lực của Thủ đô.</w:t>
      </w:r>
    </w:p>
    <w:p w14:paraId="7FC015A7">
      <w:pPr>
        <w:adjustRightInd w:val="0"/>
        <w:snapToGrid w:val="0"/>
        <w:spacing w:before="100" w:after="100" w:line="264" w:lineRule="auto"/>
        <w:ind w:firstLine="567"/>
        <w:rPr>
          <w:rFonts w:cs="Times New Roman"/>
          <w:sz w:val="28"/>
          <w:szCs w:val="28"/>
        </w:rPr>
      </w:pPr>
      <w:r>
        <w:rPr>
          <w:rFonts w:cs="Times New Roman"/>
          <w:b/>
          <w:sz w:val="28"/>
          <w:szCs w:val="28"/>
        </w:rPr>
        <w:t>II. Các sở, ban, ngành Thành phố</w:t>
      </w:r>
    </w:p>
    <w:p w14:paraId="070BB3B6">
      <w:pPr>
        <w:adjustRightInd w:val="0"/>
        <w:snapToGrid w:val="0"/>
        <w:spacing w:before="100" w:after="100" w:line="264" w:lineRule="auto"/>
        <w:ind w:firstLine="720"/>
        <w:rPr>
          <w:rFonts w:cs="Times New Roman"/>
          <w:sz w:val="28"/>
          <w:szCs w:val="28"/>
        </w:rPr>
      </w:pPr>
      <w:r>
        <w:rPr>
          <w:rFonts w:cs="Times New Roman"/>
          <w:sz w:val="28"/>
          <w:szCs w:val="28"/>
        </w:rPr>
        <w:t>Căn cứ chức năng, nhiệm vụ được giao, chủ động phối hợp Sở Giáo dục và Đào tạo, Ủy ban nhân dân các xã, phường tổ chức thực hiện nhiệm vụ năm học; tập trung giải quyết kịp thời các vấn đề về đội ngũ, nguồn lực, quy hoạch, đất đai, chuyển đổi số, an ninh, an toàn, sức khỏe và giáo dục toàn diện, cụ thể:</w:t>
      </w:r>
    </w:p>
    <w:p w14:paraId="66FA1353">
      <w:pPr>
        <w:adjustRightInd w:val="0"/>
        <w:snapToGrid w:val="0"/>
        <w:spacing w:before="100" w:after="100" w:line="264" w:lineRule="auto"/>
        <w:ind w:firstLine="567"/>
        <w:rPr>
          <w:rFonts w:cs="Times New Roman"/>
          <w:sz w:val="28"/>
          <w:szCs w:val="28"/>
        </w:rPr>
      </w:pPr>
      <w:r>
        <w:rPr>
          <w:rFonts w:cs="Times New Roman"/>
          <w:b/>
          <w:sz w:val="28"/>
          <w:szCs w:val="28"/>
        </w:rPr>
        <w:t>1. Sở Nội vụ</w:t>
      </w:r>
    </w:p>
    <w:p w14:paraId="22C43890">
      <w:pPr>
        <w:adjustRightInd w:val="0"/>
        <w:snapToGrid w:val="0"/>
        <w:spacing w:before="100" w:after="100" w:line="264" w:lineRule="auto"/>
        <w:ind w:firstLine="567"/>
        <w:rPr>
          <w:rFonts w:cs="Times New Roman"/>
          <w:sz w:val="28"/>
          <w:szCs w:val="28"/>
        </w:rPr>
      </w:pPr>
      <w:r>
        <w:rPr>
          <w:rFonts w:cs="Times New Roman"/>
          <w:sz w:val="28"/>
          <w:szCs w:val="28"/>
        </w:rPr>
        <w:t>Chủ trì, phối hợp Sở Giáo dục và Đào tạo, Ủy ban nhân dân các xã, phường rà soát vị trí việc làm, biên chế, cơ cấu đội ngũ; tham mưu giao, điều chỉnh, sử dụng biên chế, tuyển dụng và giải quyết chế độ, chính sách sau sắp xếp theo quy định; ưu tiên tăng giáo viên trực tiếp giảng dạy.</w:t>
      </w:r>
    </w:p>
    <w:p w14:paraId="5CBAA4E2">
      <w:pPr>
        <w:adjustRightInd w:val="0"/>
        <w:snapToGrid w:val="0"/>
        <w:spacing w:before="100" w:after="100" w:line="264" w:lineRule="auto"/>
        <w:ind w:firstLine="567"/>
        <w:rPr>
          <w:rFonts w:cs="Times New Roman"/>
          <w:sz w:val="28"/>
          <w:szCs w:val="28"/>
        </w:rPr>
      </w:pPr>
      <w:r>
        <w:rPr>
          <w:rFonts w:cs="Times New Roman"/>
          <w:sz w:val="28"/>
          <w:szCs w:val="28"/>
        </w:rPr>
        <w:t>Hướng dẫn, phối hợp Ủy ban nhân dân các xã, phường bố trí công chức có chuyên môn, năng lực phù hợp tham mưu quản lý nhà nước về giáo dục tại cấp xã; phối hợp tổ chức bồi dưỡng nghiệp vụ, khắc phục tình trạng địa bàn không có đầu mối đủ năng lực tham mưu về giáo dục.</w:t>
      </w:r>
    </w:p>
    <w:p w14:paraId="7F545142">
      <w:pPr>
        <w:adjustRightInd w:val="0"/>
        <w:snapToGrid w:val="0"/>
        <w:spacing w:before="100" w:after="100" w:line="264" w:lineRule="auto"/>
        <w:ind w:firstLine="567"/>
        <w:rPr>
          <w:rFonts w:cs="Times New Roman"/>
          <w:sz w:val="28"/>
          <w:szCs w:val="28"/>
        </w:rPr>
      </w:pPr>
      <w:r>
        <w:rPr>
          <w:rFonts w:cs="Times New Roman"/>
          <w:b/>
          <w:sz w:val="28"/>
          <w:szCs w:val="28"/>
        </w:rPr>
        <w:t>2. Sở Tài chính</w:t>
      </w:r>
    </w:p>
    <w:p w14:paraId="60BE450A">
      <w:pPr>
        <w:adjustRightInd w:val="0"/>
        <w:snapToGrid w:val="0"/>
        <w:spacing w:before="100" w:after="100" w:line="264" w:lineRule="auto"/>
        <w:ind w:firstLine="567"/>
        <w:rPr>
          <w:rFonts w:cs="Times New Roman"/>
          <w:sz w:val="28"/>
          <w:szCs w:val="28"/>
        </w:rPr>
      </w:pPr>
      <w:r>
        <w:rPr>
          <w:rFonts w:cs="Times New Roman"/>
          <w:sz w:val="28"/>
          <w:szCs w:val="28"/>
        </w:rPr>
        <w:t>Chủ trì tham mưu cân đối, bố trí nguồn lực thực hiện nhiệm vụ năm học, chế độ, chính sách đối với người dạy, người học; ưu tiên đầu tư, sửa chữa trường lớp, hỗ trợ học sinh khó khăn, bữa ăn bán trú, thiết bị và đồ dùng học tập; hướng dẫn quản lý, sử dụng, quyết toán kinh phí đúng quy định.</w:t>
      </w:r>
    </w:p>
    <w:p w14:paraId="7E6B7868">
      <w:pPr>
        <w:adjustRightInd w:val="0"/>
        <w:snapToGrid w:val="0"/>
        <w:spacing w:before="100" w:after="100" w:line="264" w:lineRule="auto"/>
        <w:ind w:firstLine="567"/>
        <w:rPr>
          <w:rFonts w:cs="Times New Roman"/>
          <w:sz w:val="28"/>
          <w:szCs w:val="28"/>
        </w:rPr>
      </w:pPr>
      <w:r>
        <w:rPr>
          <w:rFonts w:cs="Times New Roman"/>
          <w:sz w:val="28"/>
          <w:szCs w:val="28"/>
        </w:rPr>
        <w:t>Phối hợp Sở Giáo dục và Đào tạo tham mưu lộ trình hỗ trợ sách giáo khoa; hướng dẫn xử lý tài chính, tài sản công và chuyển đổi công năng trụ sở, công trình dôi dư sau sắp xếp.</w:t>
      </w:r>
    </w:p>
    <w:p w14:paraId="7BF71D92">
      <w:pPr>
        <w:adjustRightInd w:val="0"/>
        <w:snapToGrid w:val="0"/>
        <w:spacing w:before="100" w:after="100" w:line="264" w:lineRule="auto"/>
        <w:ind w:firstLine="567"/>
        <w:rPr>
          <w:rFonts w:cs="Times New Roman"/>
          <w:sz w:val="28"/>
          <w:szCs w:val="28"/>
        </w:rPr>
      </w:pPr>
      <w:r>
        <w:rPr>
          <w:rFonts w:cs="Times New Roman"/>
          <w:b/>
          <w:sz w:val="28"/>
          <w:szCs w:val="28"/>
        </w:rPr>
        <w:t>3. Sở Xây dựng</w:t>
      </w:r>
    </w:p>
    <w:p w14:paraId="52366A8A">
      <w:pPr>
        <w:adjustRightInd w:val="0"/>
        <w:snapToGrid w:val="0"/>
        <w:spacing w:before="100" w:after="100" w:line="264" w:lineRule="auto"/>
        <w:ind w:firstLine="567"/>
        <w:rPr>
          <w:rFonts w:cs="Times New Roman"/>
          <w:sz w:val="28"/>
          <w:szCs w:val="28"/>
        </w:rPr>
      </w:pPr>
      <w:r>
        <w:rPr>
          <w:rFonts w:cs="Times New Roman"/>
          <w:sz w:val="28"/>
          <w:szCs w:val="28"/>
        </w:rPr>
        <w:t>Chủ trì, phối hợp với các địa phương rà soát quỹ đất để bố trí xây dựng cơ sở giáo dục, bảo đảm đáp ứng nhu cầu thực tế, tuân thủ quy chuẩn kỹ thuật quốc gia về quy hoạch xây dựng và tiêu chuẩn thiết kế hiện hành trong quá trình lập, thẩm định, trình Ủy ban nhân dân Thành phố phê duyệt các quy hoạch phân khu.</w:t>
      </w:r>
    </w:p>
    <w:p w14:paraId="0CA21DC2">
      <w:pPr>
        <w:adjustRightInd w:val="0"/>
        <w:snapToGrid w:val="0"/>
        <w:spacing w:before="100" w:after="100" w:line="264" w:lineRule="auto"/>
        <w:ind w:firstLine="567"/>
        <w:rPr>
          <w:rFonts w:cs="Times New Roman"/>
          <w:sz w:val="28"/>
          <w:szCs w:val="28"/>
        </w:rPr>
      </w:pPr>
      <w:r>
        <w:rPr>
          <w:rFonts w:cs="Times New Roman"/>
          <w:b/>
          <w:sz w:val="28"/>
          <w:szCs w:val="28"/>
        </w:rPr>
        <w:t>4. Sở Nông nghiệp và Môi trường</w:t>
      </w:r>
    </w:p>
    <w:p w14:paraId="425C44FD">
      <w:pPr>
        <w:adjustRightInd w:val="0"/>
        <w:snapToGrid w:val="0"/>
        <w:spacing w:before="100" w:after="100" w:line="264" w:lineRule="auto"/>
        <w:ind w:firstLine="567"/>
        <w:rPr>
          <w:rFonts w:cs="Times New Roman"/>
          <w:sz w:val="28"/>
          <w:szCs w:val="28"/>
        </w:rPr>
      </w:pPr>
      <w:r>
        <w:rPr>
          <w:rFonts w:cs="Times New Roman"/>
          <w:sz w:val="28"/>
          <w:szCs w:val="28"/>
        </w:rPr>
        <w:t>Phối hợp Sở Xây dựng, Sở Tài chính và Ủy ban nhân dân các xã, phường rà soát hiện trạng, hồ sơ đất đai; tham mưu giao đất, cho thuê đất, chuyển mục đích sử dụng đất, giải phóng mặt bằng và xử lý vướng mắc về đất đai phục vụ phát triển trường học theo thẩm quyền, quy định.</w:t>
      </w:r>
    </w:p>
    <w:p w14:paraId="68CF6983">
      <w:pPr>
        <w:adjustRightInd w:val="0"/>
        <w:snapToGrid w:val="0"/>
        <w:spacing w:before="100" w:after="100" w:line="264" w:lineRule="auto"/>
        <w:ind w:firstLine="567"/>
        <w:rPr>
          <w:rFonts w:cs="Times New Roman"/>
          <w:sz w:val="28"/>
          <w:szCs w:val="28"/>
        </w:rPr>
      </w:pPr>
      <w:r>
        <w:rPr>
          <w:rFonts w:cs="Times New Roman"/>
          <w:b/>
          <w:sz w:val="28"/>
          <w:szCs w:val="28"/>
        </w:rPr>
        <w:t>5. Sở Khoa học và Công nghệ</w:t>
      </w:r>
    </w:p>
    <w:p w14:paraId="780FAAFE">
      <w:pPr>
        <w:adjustRightInd w:val="0"/>
        <w:snapToGrid w:val="0"/>
        <w:spacing w:before="100" w:after="100" w:line="264" w:lineRule="auto"/>
        <w:ind w:firstLine="567"/>
        <w:rPr>
          <w:rFonts w:cs="Times New Roman"/>
          <w:sz w:val="28"/>
          <w:szCs w:val="28"/>
        </w:rPr>
      </w:pPr>
      <w:r>
        <w:rPr>
          <w:rFonts w:cs="Times New Roman"/>
          <w:sz w:val="28"/>
          <w:szCs w:val="28"/>
        </w:rPr>
        <w:t>Chủ trì hướng dẫn, hỗ trợ phát triển hạ tầng số, nền tảng số, kết nối và chia sẻ dữ liệu; thúc đẩy nghiên cứu, đổi mới sáng tạo, STEM/STEAM và ứng dụng trí tuệ nhân tạo trong giáo dục. Phối hợp cơ quan chủ quản hệ thống và Công an Thành phố thực hiện yêu cầu về an toàn thông tin, tiêu chuẩn, quy chuẩn kỹ thuật theo chức năng.</w:t>
      </w:r>
    </w:p>
    <w:p w14:paraId="0C1FBB67">
      <w:pPr>
        <w:adjustRightInd w:val="0"/>
        <w:snapToGrid w:val="0"/>
        <w:spacing w:before="100" w:after="100" w:line="264" w:lineRule="auto"/>
        <w:ind w:firstLine="567"/>
        <w:rPr>
          <w:rFonts w:cs="Times New Roman"/>
          <w:sz w:val="28"/>
          <w:szCs w:val="28"/>
        </w:rPr>
      </w:pPr>
      <w:r>
        <w:rPr>
          <w:rFonts w:cs="Times New Roman"/>
          <w:b/>
          <w:sz w:val="28"/>
          <w:szCs w:val="28"/>
        </w:rPr>
        <w:t>6. Công an Thành phố</w:t>
      </w:r>
    </w:p>
    <w:p w14:paraId="38650BE6">
      <w:pPr>
        <w:adjustRightInd w:val="0"/>
        <w:snapToGrid w:val="0"/>
        <w:spacing w:before="100" w:after="100" w:line="264" w:lineRule="auto"/>
        <w:ind w:firstLine="567"/>
        <w:rPr>
          <w:rFonts w:cs="Times New Roman"/>
          <w:sz w:val="28"/>
          <w:szCs w:val="28"/>
        </w:rPr>
      </w:pPr>
      <w:r>
        <w:rPr>
          <w:rFonts w:cs="Times New Roman"/>
          <w:sz w:val="28"/>
          <w:szCs w:val="28"/>
        </w:rPr>
        <w:t>Chủ trì, phối hợp ngành Giáo dục bảo đảm an ninh, trật tự, an toàn giao thông, phòng cháy, chữa cháy, an toàn trên không gian mạng; phòng ngừa, phát hiện, xử lý bạo lực học đường, xâm hại trẻ em, thuốc lá điện tử, ma túy và tệ nạn xã hội trong, xung quanh trường học.</w:t>
      </w:r>
    </w:p>
    <w:p w14:paraId="17865A36">
      <w:pPr>
        <w:adjustRightInd w:val="0"/>
        <w:snapToGrid w:val="0"/>
        <w:spacing w:before="100" w:after="100" w:line="264" w:lineRule="auto"/>
        <w:ind w:firstLine="567"/>
        <w:rPr>
          <w:rFonts w:cs="Times New Roman"/>
          <w:sz w:val="28"/>
          <w:szCs w:val="28"/>
        </w:rPr>
      </w:pPr>
      <w:r>
        <w:rPr>
          <w:rFonts w:cs="Times New Roman"/>
          <w:sz w:val="28"/>
          <w:szCs w:val="28"/>
        </w:rPr>
        <w:t>Phối hợp Sở Giáo dục và Đào tạo tuyên truyền, hướng dẫn sử dụng mạng xã hội, điện thoại thông minh an toàn, có trách nhiệm, phù hợp từng cấp học; phòng ngừa, phát hiện, xử lý hành vi vi phạm pháp luật và nguy cơ mất an toàn trên không gian mạng theo chức năng; hướng dẫn, kiểm tra công tác bảo đảm an toàn thông tin của Thành phố, phối hợp ứng cứu, xử lý sự cố.</w:t>
      </w:r>
    </w:p>
    <w:p w14:paraId="183F936D">
      <w:pPr>
        <w:adjustRightInd w:val="0"/>
        <w:snapToGrid w:val="0"/>
        <w:spacing w:before="100" w:after="100" w:line="240" w:lineRule="auto"/>
        <w:ind w:firstLine="567"/>
        <w:rPr>
          <w:rFonts w:cs="Times New Roman"/>
          <w:sz w:val="28"/>
          <w:szCs w:val="28"/>
        </w:rPr>
      </w:pPr>
      <w:r>
        <w:rPr>
          <w:rFonts w:cs="Times New Roman"/>
          <w:b/>
          <w:sz w:val="28"/>
          <w:szCs w:val="28"/>
        </w:rPr>
        <w:t>7. Sở Y tế</w:t>
      </w:r>
    </w:p>
    <w:p w14:paraId="5A076CDA">
      <w:pPr>
        <w:adjustRightInd w:val="0"/>
        <w:snapToGrid w:val="0"/>
        <w:spacing w:before="100" w:after="100" w:line="240" w:lineRule="auto"/>
        <w:ind w:firstLine="567"/>
        <w:rPr>
          <w:rFonts w:cs="Times New Roman"/>
          <w:sz w:val="28"/>
          <w:szCs w:val="28"/>
        </w:rPr>
      </w:pPr>
      <w:r>
        <w:rPr>
          <w:rFonts w:cs="Times New Roman"/>
          <w:sz w:val="28"/>
          <w:szCs w:val="28"/>
        </w:rPr>
        <w:t>Chủ trì hướng dẫn chuyên môn, kiểm tra, giám sát việc thực hiện các nội dung về y tế trường học, khám sức khỏe học sinh, phòng, chống dịch bệnh, dinh dưỡng học đường, chăm sóc sức khỏe tâm thần và an toàn thực phẩm trong trường học theo chức năng, nhiệm vụ được giao; phối hợp Sở Giáo dục và Đào tạo và các cơ quan, đơn vị liên quan xử lý dịch bệnh, sự cố an toàn thực phẩm và các vấn đề sức khỏe phát sinh trong trường học; hướng dẫn nâng cao chất lượng tư vấn, chăm sóc sức khỏe học sinh.</w:t>
      </w:r>
    </w:p>
    <w:p w14:paraId="69E7C022">
      <w:pPr>
        <w:adjustRightInd w:val="0"/>
        <w:snapToGrid w:val="0"/>
        <w:spacing w:before="100" w:after="100" w:line="240" w:lineRule="auto"/>
        <w:ind w:firstLine="567"/>
        <w:rPr>
          <w:rFonts w:cs="Times New Roman"/>
          <w:sz w:val="28"/>
          <w:szCs w:val="28"/>
        </w:rPr>
      </w:pPr>
      <w:r>
        <w:rPr>
          <w:rFonts w:cs="Times New Roman"/>
          <w:b/>
          <w:sz w:val="28"/>
          <w:szCs w:val="28"/>
        </w:rPr>
        <w:t>8. Sở Văn hóa, Thể thao và Du lịch</w:t>
      </w:r>
    </w:p>
    <w:p w14:paraId="7AC2C97D">
      <w:pPr>
        <w:adjustRightInd w:val="0"/>
        <w:snapToGrid w:val="0"/>
        <w:spacing w:before="100" w:after="100" w:line="240" w:lineRule="auto"/>
        <w:ind w:firstLine="567"/>
        <w:rPr>
          <w:rFonts w:cs="Times New Roman"/>
          <w:sz w:val="28"/>
          <w:szCs w:val="28"/>
        </w:rPr>
      </w:pPr>
      <w:r>
        <w:rPr>
          <w:rFonts w:cs="Times New Roman"/>
          <w:sz w:val="28"/>
          <w:szCs w:val="28"/>
        </w:rPr>
        <w:t>Phối hợp ngành Giáo dục phát triển giáo dục thể chất, thể thao, nghệ thuật; khai thác thiết chế văn hóa, thể thao phục vụ học sinh; tăng cường giáo dục di sản, lịch sử, văn hóa Thăng Long - Hà Nội và xây dựng môi trường văn hóa học đường.</w:t>
      </w:r>
    </w:p>
    <w:p w14:paraId="1DB8CB41">
      <w:pPr>
        <w:adjustRightInd w:val="0"/>
        <w:snapToGrid w:val="0"/>
        <w:spacing w:before="100" w:after="100" w:line="240" w:lineRule="auto"/>
        <w:ind w:firstLine="567"/>
        <w:rPr>
          <w:rFonts w:cs="Times New Roman"/>
          <w:sz w:val="28"/>
          <w:szCs w:val="28"/>
        </w:rPr>
      </w:pPr>
      <w:r>
        <w:rPr>
          <w:rFonts w:cs="Times New Roman"/>
          <w:b/>
          <w:sz w:val="28"/>
          <w:szCs w:val="28"/>
        </w:rPr>
        <w:t>III. Ủy ban nhân dân các xã, phường</w:t>
      </w:r>
    </w:p>
    <w:p w14:paraId="555A466B">
      <w:pPr>
        <w:adjustRightInd w:val="0"/>
        <w:snapToGrid w:val="0"/>
        <w:spacing w:before="100" w:after="100" w:line="240" w:lineRule="auto"/>
        <w:ind w:firstLine="567"/>
        <w:rPr>
          <w:rFonts w:cs="Times New Roman"/>
          <w:sz w:val="28"/>
          <w:szCs w:val="28"/>
        </w:rPr>
      </w:pPr>
      <w:r>
        <w:rPr>
          <w:rFonts w:cs="Times New Roman"/>
          <w:sz w:val="28"/>
          <w:szCs w:val="28"/>
        </w:rPr>
        <w:t>Thực hiện quản lý nhà nước đối với các cơ sở giáo dục thuộc thẩm quyền quản lý theo phân cấp, phân quyền; chịu trách nhiệm về các nhiệm vụ được giao trên địa bàn; xây dựng kế hoạch thực hiện Chỉ thị, phân công rõ người, rõ việc, rõ tiến độ; ưu tiên nguồn lực, giải quyết kịp thời tình trạng thiếu trường, lớp, giáo viên, cơ sở vật chất và các nguy cơ mất an toàn.</w:t>
      </w:r>
    </w:p>
    <w:p w14:paraId="034C4D7E">
      <w:pPr>
        <w:adjustRightInd w:val="0"/>
        <w:snapToGrid w:val="0"/>
        <w:spacing w:before="100" w:after="100" w:line="240" w:lineRule="auto"/>
        <w:ind w:firstLine="567"/>
        <w:rPr>
          <w:rFonts w:cs="Times New Roman"/>
          <w:sz w:val="28"/>
          <w:szCs w:val="28"/>
        </w:rPr>
      </w:pPr>
      <w:r>
        <w:rPr>
          <w:rFonts w:cs="Times New Roman"/>
          <w:sz w:val="28"/>
          <w:szCs w:val="28"/>
        </w:rPr>
        <w:t>Hoàn thành ổn định tổ chức cơ sở giáo dục sau sắp xếp; bố trí công chức tại Phòng Văn hóa - Xã hội có năng lực, trình độ chuyên môn phù hợp để tham mưu quản lý nhà nước về giáo dục và đào tạo; thực hiện theo thẩm quyền công tác phổ cập giáo dục, xóa mù chữ, huy động học sinh ra lớp, phòng, chống bỏ học; kiểm tra việc thực hiện chương trình, thu, chi, dạy thêm, học thêm, bán trú, an toàn thực phẩm và an ninh trường học. Phối hợp cơ sở giáo dục, gia đình và các lực lượng trên địa bàn quản lý học sinh ngoài giờ học, phòng, chống bạo lực học đường, tai nạn thương tích, đuối nước; duy trì kênh tiếp nhận phản ánh và xử lý trách nhiệm người đứng đầu khi để xảy ra vi phạm.</w:t>
      </w:r>
    </w:p>
    <w:p w14:paraId="21458D5A">
      <w:pPr>
        <w:adjustRightInd w:val="0"/>
        <w:snapToGrid w:val="0"/>
        <w:spacing w:before="100" w:after="100" w:line="240" w:lineRule="auto"/>
        <w:ind w:firstLine="567"/>
        <w:rPr>
          <w:rFonts w:cs="Times New Roman"/>
          <w:sz w:val="28"/>
          <w:szCs w:val="28"/>
        </w:rPr>
      </w:pPr>
      <w:r>
        <w:rPr>
          <w:rFonts w:cs="Times New Roman"/>
          <w:sz w:val="28"/>
          <w:szCs w:val="28"/>
        </w:rPr>
        <w:t>Báo cáo kết quả sắp xếp cơ sở giáo dục về Sở Giáo dục và Đào tạo theo thời hạn được hướng dẫn để tổng hợp, báo cáo Bộ Giáo dục và Đào tạo trước ngày 01 tháng 9 năm 2026; thực hiện chế độ báo cáo năm học thống nhất về đầu mối, nội dung, thời gian và phương thức; khai thác dữ liệu số dùng chung, hạn chế báo cáo trùng lặp.</w:t>
      </w:r>
    </w:p>
    <w:p w14:paraId="044C807B">
      <w:pPr>
        <w:adjustRightInd w:val="0"/>
        <w:snapToGrid w:val="0"/>
        <w:spacing w:before="100" w:after="100" w:line="264" w:lineRule="auto"/>
        <w:ind w:firstLine="567"/>
        <w:rPr>
          <w:rFonts w:cs="Times New Roman"/>
          <w:sz w:val="28"/>
          <w:szCs w:val="28"/>
        </w:rPr>
      </w:pPr>
      <w:r>
        <w:rPr>
          <w:rFonts w:cs="Times New Roman"/>
          <w:b/>
          <w:sz w:val="28"/>
          <w:szCs w:val="28"/>
        </w:rPr>
        <w:t>IV. Ủy ban Mặt trận Tổ quốc Việt Nam Thành phố, các tổ chức chính trị - xã hội và cơ quan báo chí, truyền thông Thành phố</w:t>
      </w:r>
    </w:p>
    <w:p w14:paraId="05E99D71">
      <w:pPr>
        <w:adjustRightInd w:val="0"/>
        <w:snapToGrid w:val="0"/>
        <w:spacing w:before="100" w:after="100" w:line="264" w:lineRule="auto"/>
        <w:ind w:firstLine="720"/>
        <w:rPr>
          <w:rFonts w:cs="Times New Roman"/>
          <w:sz w:val="28"/>
          <w:szCs w:val="28"/>
        </w:rPr>
      </w:pPr>
      <w:r>
        <w:rPr>
          <w:rFonts w:cs="Times New Roman"/>
          <w:sz w:val="28"/>
          <w:szCs w:val="28"/>
        </w:rPr>
        <w:t>Phối hợp tuyên truyền, vận động, giám sát việc thực hiện chính sách giáo dục; phát hiện, phản ánh kịp thời vấn đề ảnh hưởng quyền, lợi ích hợp pháp của người học, nhà giáo; lan tỏa mô hình tốt, cách làm hiệu quả, tạo đồng thuận xã hội. Chủ động thông tin đầy đủ, kịp thời về chủ trương, nhiệm vụ, kết quả đổi mới giáo dục và đào tạo; biểu dương gương người tốt, việc tốt; phối hợp xử lý các vấn đề xã hội quan tâm, tạo đồng thuận và huy động sự tham gia của Nhân dân đối với sự nghiệp giáo dục Thủ đô.</w:t>
      </w:r>
    </w:p>
    <w:p w14:paraId="6E49B8B6">
      <w:pPr>
        <w:adjustRightInd w:val="0"/>
        <w:snapToGrid w:val="0"/>
        <w:spacing w:before="100" w:after="100" w:line="264" w:lineRule="auto"/>
        <w:ind w:firstLine="567"/>
        <w:rPr>
          <w:rFonts w:cs="Times New Roman"/>
          <w:sz w:val="28"/>
          <w:szCs w:val="28"/>
        </w:rPr>
      </w:pPr>
      <w:r>
        <w:rPr>
          <w:rFonts w:cs="Times New Roman"/>
          <w:b/>
          <w:sz w:val="28"/>
          <w:szCs w:val="28"/>
        </w:rPr>
        <w:t>V. Các cơ sở giáo dục, đào tạo trên địa bàn Thành phố</w:t>
      </w:r>
    </w:p>
    <w:p w14:paraId="1D4014F5">
      <w:pPr>
        <w:adjustRightInd w:val="0"/>
        <w:snapToGrid w:val="0"/>
        <w:spacing w:before="100" w:after="100" w:line="264" w:lineRule="auto"/>
        <w:ind w:firstLine="567"/>
        <w:rPr>
          <w:rFonts w:cs="Times New Roman"/>
          <w:sz w:val="28"/>
          <w:szCs w:val="28"/>
        </w:rPr>
      </w:pPr>
      <w:r>
        <w:rPr>
          <w:rFonts w:cs="Times New Roman"/>
          <w:sz w:val="28"/>
          <w:szCs w:val="28"/>
        </w:rPr>
        <w:t>Cụ thể hóa Chỉ thị thành kế hoạch năm học có chỉ tiêu, nhiệm vụ, tiến độ và người chịu trách nhiệm; công khai kế hoạch giáo dục, điều kiện bảo đảm chất lượng, các khoản thu và kết quả thực hiện; chủ động phối hợp gia đình, chính quyền, cơ quan chức năng chăm lo, bảo vệ và giáo dục học sinh.</w:t>
      </w:r>
    </w:p>
    <w:p w14:paraId="3E70B1C7">
      <w:pPr>
        <w:adjustRightInd w:val="0"/>
        <w:snapToGrid w:val="0"/>
        <w:spacing w:before="100" w:after="100" w:line="264" w:lineRule="auto"/>
        <w:ind w:firstLine="567"/>
        <w:rPr>
          <w:rFonts w:cs="Times New Roman"/>
          <w:sz w:val="28"/>
          <w:szCs w:val="28"/>
        </w:rPr>
      </w:pPr>
      <w:r>
        <w:rPr>
          <w:rFonts w:cs="Times New Roman"/>
          <w:sz w:val="28"/>
          <w:szCs w:val="28"/>
        </w:rPr>
        <w:t>Người đứng đầu chịu trách nhiệm về chất lượng giáo dục, an toàn trường học, kỷ cương, thu chi, dữ liệu, bảo vệ thông tin cá nhân và việc thực hiện quy định chuyên môn; kịp thời báo cáo cơ quan quản lý trực tiếp những vấn đề vượt thẩm quyền.</w:t>
      </w:r>
    </w:p>
    <w:p w14:paraId="0460F0AB">
      <w:pPr>
        <w:adjustRightInd w:val="0"/>
        <w:snapToGrid w:val="0"/>
        <w:spacing w:before="100" w:after="100" w:line="264" w:lineRule="auto"/>
        <w:ind w:firstLine="567"/>
        <w:rPr>
          <w:rFonts w:cs="Times New Roman"/>
          <w:sz w:val="28"/>
          <w:szCs w:val="28"/>
        </w:rPr>
      </w:pPr>
      <w:r>
        <w:rPr>
          <w:rFonts w:cs="Times New Roman"/>
          <w:sz w:val="28"/>
          <w:szCs w:val="28"/>
        </w:rPr>
        <w:t>Giám đốc Sở Giáo dục và Đào tạo theo dõi, đôn đốc, kiểm tra việc thực hiện Chỉ thị; tổng hợp tình hình, kết quả, khó khăn, vướng mắc, báo cáo Chủ tịch Ủy ban nhân dân Thành phố và Bộ Giáo dục và Đào tạo theo quy định.</w:t>
      </w:r>
    </w:p>
    <w:p w14:paraId="3CD9C4E3">
      <w:pPr>
        <w:adjustRightInd w:val="0"/>
        <w:snapToGrid w:val="0"/>
        <w:spacing w:before="100" w:after="100" w:line="264" w:lineRule="auto"/>
        <w:ind w:firstLine="567"/>
        <w:rPr>
          <w:rFonts w:cs="Times New Roman"/>
          <w:sz w:val="28"/>
          <w:szCs w:val="28"/>
        </w:rPr>
      </w:pPr>
      <w:r>
        <w:rPr>
          <w:rFonts w:cs="Times New Roman"/>
          <w:sz w:val="28"/>
          <w:szCs w:val="28"/>
        </w:rPr>
        <w:t>Giám đốc, Thủ trưởng các sở, ban, ngành; Chủ tịch Ủy ban nhân dân các xã, phường; người đứng đầu các cơ sở giáo dục, đào tạo nghiêm túc tổ chức thực hiện Chỉ thị này./.</w:t>
      </w:r>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5"/>
        <w:gridCol w:w="4535"/>
      </w:tblGrid>
      <w:tr w14:paraId="7A4D4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35" w:type="dxa"/>
            <w:tcMar>
              <w:top w:w="0" w:type="dxa"/>
              <w:left w:w="0" w:type="dxa"/>
              <w:bottom w:w="0" w:type="dxa"/>
              <w:right w:w="0" w:type="dxa"/>
            </w:tcMar>
          </w:tcPr>
          <w:p w14:paraId="562F5715">
            <w:pPr>
              <w:spacing w:before="160" w:after="0"/>
              <w:rPr>
                <w:sz w:val="28"/>
                <w:szCs w:val="24"/>
              </w:rPr>
            </w:pPr>
            <w:r>
              <w:rPr>
                <w:b/>
                <w:i/>
                <w:sz w:val="24"/>
                <w:szCs w:val="24"/>
              </w:rPr>
              <w:t>Nơi nhận:</w:t>
            </w:r>
          </w:p>
          <w:p w14:paraId="712CA93A">
            <w:pPr>
              <w:spacing w:after="0" w:line="240" w:lineRule="auto"/>
            </w:pPr>
            <w:r>
              <w:rPr>
                <w:sz w:val="22"/>
              </w:rPr>
              <w:t>- Đ/c Bí thư Thành uỷ;</w:t>
            </w:r>
          </w:p>
          <w:p w14:paraId="596505CA">
            <w:pPr>
              <w:spacing w:after="0" w:line="240" w:lineRule="auto"/>
            </w:pPr>
            <w:r>
              <w:rPr>
                <w:sz w:val="22"/>
              </w:rPr>
              <w:t>- Bộ Giáo dục và Đào tạo;</w:t>
            </w:r>
          </w:p>
          <w:p w14:paraId="139BE9A2">
            <w:pPr>
              <w:spacing w:after="0" w:line="240" w:lineRule="auto"/>
            </w:pPr>
            <w:r>
              <w:rPr>
                <w:sz w:val="22"/>
              </w:rPr>
              <w:t>- Thường trực Thành ủy;</w:t>
            </w:r>
          </w:p>
          <w:p w14:paraId="5F5E97C2">
            <w:pPr>
              <w:spacing w:after="0" w:line="240" w:lineRule="auto"/>
            </w:pPr>
            <w:r>
              <w:rPr>
                <w:sz w:val="22"/>
              </w:rPr>
              <w:t>- Thường trực HĐND Thành phố;</w:t>
            </w:r>
          </w:p>
          <w:p w14:paraId="6D76C08F">
            <w:pPr>
              <w:spacing w:after="0" w:line="240" w:lineRule="auto"/>
              <w:rPr>
                <w:sz w:val="22"/>
              </w:rPr>
            </w:pPr>
            <w:r>
              <w:rPr>
                <w:sz w:val="22"/>
              </w:rPr>
              <w:t>- Chủ tịch UBND Thành phố;</w:t>
            </w:r>
          </w:p>
          <w:p w14:paraId="4AF0D840">
            <w:pPr>
              <w:spacing w:after="0" w:line="240" w:lineRule="auto"/>
              <w:rPr>
                <w:sz w:val="22"/>
              </w:rPr>
            </w:pPr>
            <w:r>
              <w:rPr>
                <w:sz w:val="22"/>
              </w:rPr>
              <w:t>- Các Phó Chủ tịch UBND Thành phố;</w:t>
            </w:r>
          </w:p>
          <w:p w14:paraId="21012042">
            <w:pPr>
              <w:spacing w:after="0" w:line="240" w:lineRule="auto"/>
            </w:pPr>
            <w:r>
              <w:rPr>
                <w:sz w:val="22"/>
              </w:rPr>
              <w:t xml:space="preserve">- </w:t>
            </w:r>
            <w:r>
              <w:rPr>
                <w:sz w:val="22"/>
                <w:lang w:val="vi-VN"/>
              </w:rPr>
              <w:t>Ban Tuyên giáo và Dân vận Thành ủy</w:t>
            </w:r>
            <w:r>
              <w:rPr>
                <w:sz w:val="22"/>
              </w:rPr>
              <w:t>;</w:t>
            </w:r>
          </w:p>
          <w:p w14:paraId="14A4E2DF">
            <w:pPr>
              <w:spacing w:after="0" w:line="240" w:lineRule="auto"/>
            </w:pPr>
            <w:r>
              <w:rPr>
                <w:sz w:val="22"/>
              </w:rPr>
              <w:t>- Ủy ban MTTQ Việt Nam Thành phố;</w:t>
            </w:r>
          </w:p>
          <w:p w14:paraId="1EC5E1FA">
            <w:pPr>
              <w:spacing w:after="0" w:line="240" w:lineRule="auto"/>
              <w:rPr>
                <w:sz w:val="22"/>
              </w:rPr>
            </w:pPr>
            <w:r>
              <w:rPr>
                <w:sz w:val="22"/>
              </w:rPr>
              <w:t>- Văn phòng: Thành uỷ, HĐND Thành phố</w:t>
            </w:r>
          </w:p>
          <w:p w14:paraId="14A053C4">
            <w:pPr>
              <w:spacing w:after="0" w:line="240" w:lineRule="auto"/>
            </w:pPr>
            <w:r>
              <w:rPr>
                <w:sz w:val="22"/>
              </w:rPr>
              <w:t>- Các sở, ban, ngành Thành phố;</w:t>
            </w:r>
          </w:p>
          <w:p w14:paraId="65BA3601">
            <w:pPr>
              <w:spacing w:after="0" w:line="240" w:lineRule="auto"/>
            </w:pPr>
            <w:r>
              <w:rPr>
                <w:sz w:val="22"/>
              </w:rPr>
              <w:t>- UBND các xã, phường;</w:t>
            </w:r>
          </w:p>
          <w:p w14:paraId="33B6C039">
            <w:pPr>
              <w:spacing w:after="0" w:line="240" w:lineRule="auto"/>
              <w:rPr>
                <w:sz w:val="22"/>
              </w:rPr>
            </w:pPr>
            <w:r>
              <w:rPr>
                <w:sz w:val="22"/>
              </w:rPr>
              <w:t>- Các trường ĐH, CĐ thuộc Thành phố;</w:t>
            </w:r>
          </w:p>
          <w:p w14:paraId="4479446F">
            <w:pPr>
              <w:spacing w:after="0" w:line="240" w:lineRule="auto"/>
              <w:rPr>
                <w:sz w:val="22"/>
              </w:rPr>
            </w:pPr>
            <w:r>
              <w:rPr>
                <w:sz w:val="22"/>
              </w:rPr>
              <w:t>- Cơ quan Báo và phát thanh, truyền hình Hà Nội;</w:t>
            </w:r>
          </w:p>
          <w:p w14:paraId="04F907DA">
            <w:pPr>
              <w:spacing w:after="0" w:line="240" w:lineRule="auto"/>
            </w:pPr>
            <w:r>
              <w:rPr>
                <w:sz w:val="22"/>
              </w:rPr>
              <w:t xml:space="preserve">- </w:t>
            </w:r>
            <w:r>
              <w:rPr>
                <w:spacing w:val="-10"/>
                <w:sz w:val="22"/>
              </w:rPr>
              <w:t>VPUB: CVP, các PCVP, các phòng, đơn vị liên quan</w:t>
            </w:r>
            <w:r>
              <w:rPr>
                <w:sz w:val="22"/>
              </w:rPr>
              <w:t>;</w:t>
            </w:r>
          </w:p>
          <w:p w14:paraId="60AEF210">
            <w:pPr>
              <w:spacing w:after="0" w:line="240" w:lineRule="auto"/>
            </w:pPr>
            <w:r>
              <w:rPr>
                <w:sz w:val="22"/>
              </w:rPr>
              <w:t>- Lưu: VT, KGVX.</w:t>
            </w:r>
          </w:p>
        </w:tc>
        <w:tc>
          <w:tcPr>
            <w:tcW w:w="4535" w:type="dxa"/>
            <w:tcMar>
              <w:top w:w="0" w:type="dxa"/>
              <w:left w:w="0" w:type="dxa"/>
              <w:bottom w:w="0" w:type="dxa"/>
              <w:right w:w="0" w:type="dxa"/>
            </w:tcMar>
          </w:tcPr>
          <w:p w14:paraId="32892EAC">
            <w:pPr>
              <w:spacing w:before="160" w:after="0"/>
              <w:jc w:val="center"/>
              <w:rPr>
                <w:sz w:val="28"/>
                <w:szCs w:val="28"/>
              </w:rPr>
            </w:pPr>
            <w:r>
              <w:rPr>
                <w:b/>
                <w:sz w:val="28"/>
                <w:szCs w:val="28"/>
              </w:rPr>
              <w:t>CHỦ TỊCH</w:t>
            </w:r>
          </w:p>
          <w:p w14:paraId="53D054AD">
            <w:pPr>
              <w:spacing w:before="1360"/>
              <w:jc w:val="center"/>
            </w:pPr>
            <w:r>
              <w:rPr>
                <w:b/>
                <w:sz w:val="28"/>
                <w:szCs w:val="28"/>
              </w:rPr>
              <w:t>Vũ Đại Thắng</w:t>
            </w:r>
          </w:p>
        </w:tc>
      </w:tr>
    </w:tbl>
    <w:p w14:paraId="01038174"/>
    <w:sectPr>
      <w:headerReference r:id="rId6" w:type="first"/>
      <w:footerReference r:id="rId8" w:type="first"/>
      <w:headerReference r:id="rId5" w:type="default"/>
      <w:footerReference r:id="rId7" w:type="default"/>
      <w:pgSz w:w="11906" w:h="16838"/>
      <w:pgMar w:top="808" w:right="845" w:bottom="1134" w:left="1181" w:header="288" w:footer="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0A988">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4766E">
    <w:pPr>
      <w:pStyle w:val="18"/>
    </w:pPr>
    <w:bookmarkStart w:id="0" w:name="_GoBack"/>
    <w:bookmarkEnd w:id="0"/>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2204079"/>
      <w:docPartObj>
        <w:docPartGallery w:val="AutoText"/>
      </w:docPartObj>
    </w:sdtPr>
    <w:sdtContent>
      <w:p w14:paraId="4F4C85DB">
        <w:pPr>
          <w:pStyle w:val="19"/>
          <w:jc w:val="center"/>
        </w:pPr>
        <w:r>
          <w:fldChar w:fldCharType="begin"/>
        </w:r>
        <w:r>
          <w:instrText xml:space="preserve"> PAGE   \* MERGEFORMAT </w:instrText>
        </w:r>
        <w:r>
          <w:fldChar w:fldCharType="separate"/>
        </w:r>
        <w:r>
          <w:t>2</w:t>
        </w:r>
        <w:r>
          <w:fldChar w:fldCharType="end"/>
        </w:r>
      </w:p>
    </w:sdtContent>
  </w:sdt>
  <w:p w14:paraId="1993D2D5">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4FB14">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A10D6"/>
    <w:rsid w:val="00113A68"/>
    <w:rsid w:val="0015074B"/>
    <w:rsid w:val="00166A2C"/>
    <w:rsid w:val="001E7850"/>
    <w:rsid w:val="0029639D"/>
    <w:rsid w:val="002C01F3"/>
    <w:rsid w:val="00326F90"/>
    <w:rsid w:val="00354F7E"/>
    <w:rsid w:val="003734DA"/>
    <w:rsid w:val="0043048E"/>
    <w:rsid w:val="00446542"/>
    <w:rsid w:val="00470BBC"/>
    <w:rsid w:val="005C15BC"/>
    <w:rsid w:val="005E75F5"/>
    <w:rsid w:val="0061056D"/>
    <w:rsid w:val="00625F28"/>
    <w:rsid w:val="006D7B51"/>
    <w:rsid w:val="00845AEE"/>
    <w:rsid w:val="00876943"/>
    <w:rsid w:val="00887CD1"/>
    <w:rsid w:val="008971AB"/>
    <w:rsid w:val="008B5F27"/>
    <w:rsid w:val="008C3F00"/>
    <w:rsid w:val="00955261"/>
    <w:rsid w:val="009C229A"/>
    <w:rsid w:val="00A31239"/>
    <w:rsid w:val="00AA1D8D"/>
    <w:rsid w:val="00B0289C"/>
    <w:rsid w:val="00B47730"/>
    <w:rsid w:val="00B90B8D"/>
    <w:rsid w:val="00C2118C"/>
    <w:rsid w:val="00C3737E"/>
    <w:rsid w:val="00CB0664"/>
    <w:rsid w:val="00DB01A2"/>
    <w:rsid w:val="00DB1D47"/>
    <w:rsid w:val="00E0550E"/>
    <w:rsid w:val="00EC0729"/>
    <w:rsid w:val="00EE2082"/>
    <w:rsid w:val="00EF7B47"/>
    <w:rsid w:val="00F42C9D"/>
    <w:rsid w:val="00F50CF2"/>
    <w:rsid w:val="00F54D32"/>
    <w:rsid w:val="00FC14D8"/>
    <w:rsid w:val="00FC693F"/>
    <w:rsid w:val="14BF27A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qFormat="1"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60" w:line="276" w:lineRule="auto"/>
      <w:jc w:val="both"/>
    </w:pPr>
    <w:rPr>
      <w:rFonts w:ascii="Times New Roman" w:hAnsi="Times New Roman" w:eastAsia="Times New Roman" w:cstheme="minorBidi"/>
      <w:sz w:val="26"/>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8</Pages>
  <Words>4711</Words>
  <Characters>16803</Characters>
  <Lines>152</Lines>
  <Paragraphs>43</Paragraphs>
  <TotalTime>75</TotalTime>
  <ScaleCrop>false</ScaleCrop>
  <LinksUpToDate>false</LinksUpToDate>
  <CharactersWithSpaces>21429</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2026-08-12T02:09:00Z</dcterms:created>
  <dc:creator>Sở Giáo dục và Đào tạo Hà Nội</dc:creator>
  <dc:description>generated by python-docx</dc:description>
  <cp:keywords>năm học 2026-2027, Hà Nội, giáo dục</cp:keywords>
  <cp:lastModifiedBy>Hạnh Nguyễn</cp:lastModifiedBy>
  <cp:lastPrinted>2026-08-24T03:43:35Z</cp:lastPrinted>
  <dcterms:modified xsi:type="dcterms:W3CDTF">2026-08-24T03:54:13Z</dcterms:modified>
  <dc:subject>Dự thảo trình UBND thành phố Hà Nội</dc:subject>
  <dc:title>Dự thảo Chỉ thị về thực hiện nhiệm vụ trọng tâm năm học 2026 - 2027 trên địa bàn thành phố Hà Nội</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1033-12.1.0.28032</vt:lpwstr>
  </property>
  <property fmtid="{D5CDD505-2E9C-101B-9397-08002B2CF9AE}" pid="4" name="ICV">
    <vt:lpwstr>773E20D5AE294AF1AE0B4B067E770678_12</vt:lpwstr>
  </property>
</Properties>
</file>